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310B4" w14:textId="77777777" w:rsidR="00C570B3" w:rsidRPr="002C4050" w:rsidRDefault="00C570B3" w:rsidP="0000150D">
      <w:pPr>
        <w:jc w:val="center"/>
        <w:rPr>
          <w:b/>
          <w:bCs/>
          <w:lang w:val="en-GB"/>
        </w:rPr>
      </w:pPr>
    </w:p>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266376" w:rsidRPr="002C4050" w14:paraId="3C89A71A" w14:textId="77777777" w:rsidTr="00B26674">
        <w:trPr>
          <w:cantSplit/>
        </w:trPr>
        <w:tc>
          <w:tcPr>
            <w:tcW w:w="6071" w:type="dxa"/>
            <w:gridSpan w:val="3"/>
            <w:tcBorders>
              <w:top w:val="nil"/>
              <w:left w:val="nil"/>
              <w:bottom w:val="nil"/>
              <w:right w:val="nil"/>
            </w:tcBorders>
          </w:tcPr>
          <w:p w14:paraId="439D6369" w14:textId="77777777" w:rsidR="00266376" w:rsidRPr="002C4050" w:rsidRDefault="00266376" w:rsidP="00B26674">
            <w:pPr>
              <w:pStyle w:val="Header1"/>
              <w:rPr>
                <w:lang w:val="en-GB"/>
              </w:rPr>
            </w:pPr>
          </w:p>
          <w:p w14:paraId="07FB9CB9" w14:textId="77777777" w:rsidR="00266376" w:rsidRPr="002C4050" w:rsidRDefault="00266376" w:rsidP="00B26674">
            <w:pPr>
              <w:pStyle w:val="Header1"/>
              <w:rPr>
                <w:lang w:val="en-GB"/>
              </w:rPr>
            </w:pPr>
            <w:r w:rsidRPr="002C4050">
              <w:rPr>
                <w:noProof/>
                <w:lang w:val="de-DE"/>
              </w:rPr>
              <w:drawing>
                <wp:inline distT="0" distB="0" distL="0" distR="0" wp14:anchorId="2868F1FB" wp14:editId="5D17E886">
                  <wp:extent cx="1943100" cy="53340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14:paraId="5AB8160F" w14:textId="77777777" w:rsidR="00266376" w:rsidRPr="002C4050" w:rsidRDefault="00266376" w:rsidP="00B26674">
            <w:pPr>
              <w:pStyle w:val="Header1"/>
              <w:rPr>
                <w:lang w:val="en-GB"/>
              </w:rPr>
            </w:pPr>
          </w:p>
        </w:tc>
        <w:tc>
          <w:tcPr>
            <w:tcW w:w="3569" w:type="dxa"/>
            <w:tcBorders>
              <w:top w:val="nil"/>
              <w:left w:val="nil"/>
              <w:bottom w:val="nil"/>
              <w:right w:val="nil"/>
            </w:tcBorders>
          </w:tcPr>
          <w:p w14:paraId="633327C5" w14:textId="3EE2C5E8" w:rsidR="00266376" w:rsidRPr="002C4050" w:rsidRDefault="00C559F6" w:rsidP="00F10BE4">
            <w:pPr>
              <w:pStyle w:val="Header1"/>
              <w:tabs>
                <w:tab w:val="clear" w:pos="4536"/>
                <w:tab w:val="right" w:pos="3357"/>
              </w:tabs>
              <w:jc w:val="right"/>
              <w:rPr>
                <w:lang w:val="en-GB"/>
              </w:rPr>
            </w:pPr>
            <w:r w:rsidRPr="009259C4">
              <w:rPr>
                <w:lang w:val="en-GB"/>
              </w:rPr>
              <w:t xml:space="preserve">Doc. (22) </w:t>
            </w:r>
            <w:r>
              <w:rPr>
                <w:lang w:val="en-GB"/>
              </w:rPr>
              <w:t>2</w:t>
            </w:r>
            <w:r>
              <w:rPr>
                <w:lang w:val="en-GB"/>
              </w:rPr>
              <w:t>3</w:t>
            </w:r>
          </w:p>
        </w:tc>
      </w:tr>
      <w:tr w:rsidR="00266376" w:rsidRPr="002C4050" w14:paraId="5BE22D4A" w14:textId="77777777" w:rsidTr="00B26674">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07DC77ED" w14:textId="77777777" w:rsidR="00266376" w:rsidRPr="002C4050" w:rsidRDefault="00266376" w:rsidP="00B26674">
            <w:pPr>
              <w:pStyle w:val="Header1"/>
              <w:rPr>
                <w:szCs w:val="22"/>
                <w:lang w:val="en-GB"/>
              </w:rPr>
            </w:pPr>
          </w:p>
        </w:tc>
        <w:tc>
          <w:tcPr>
            <w:tcW w:w="5300" w:type="dxa"/>
            <w:gridSpan w:val="2"/>
            <w:tcBorders>
              <w:top w:val="nil"/>
              <w:left w:val="nil"/>
              <w:bottom w:val="nil"/>
              <w:right w:val="nil"/>
            </w:tcBorders>
            <w:vAlign w:val="center"/>
          </w:tcPr>
          <w:p w14:paraId="2FF16CA8" w14:textId="77777777" w:rsidR="00266376" w:rsidRPr="002C4050" w:rsidRDefault="00266376" w:rsidP="00B26674">
            <w:pPr>
              <w:pStyle w:val="Header1"/>
              <w:rPr>
                <w:lang w:val="en-GB"/>
              </w:rPr>
            </w:pPr>
          </w:p>
        </w:tc>
      </w:tr>
      <w:tr w:rsidR="00266376" w:rsidRPr="002C4050" w14:paraId="6B62557C" w14:textId="77777777" w:rsidTr="00B26674">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0EF05BEF" w14:textId="77777777" w:rsidR="00266376" w:rsidRPr="002C4050" w:rsidRDefault="00266376" w:rsidP="00B26674">
            <w:pPr>
              <w:pStyle w:val="Header1"/>
              <w:rPr>
                <w:lang w:val="en-GB"/>
              </w:rPr>
            </w:pPr>
            <w:r w:rsidRPr="002C4050">
              <w:rPr>
                <w:lang w:val="en-GB"/>
              </w:rPr>
              <w:t>Hybrid-meeting</w:t>
            </w:r>
          </w:p>
          <w:p w14:paraId="36039074" w14:textId="77777777" w:rsidR="00266376" w:rsidRPr="002C4050" w:rsidRDefault="00266376" w:rsidP="00B26674">
            <w:pPr>
              <w:pStyle w:val="Header1"/>
              <w:rPr>
                <w:lang w:val="en-GB"/>
              </w:rPr>
            </w:pPr>
            <w:r w:rsidRPr="002C4050">
              <w:rPr>
                <w:lang w:val="en-GB"/>
              </w:rPr>
              <w:t xml:space="preserve">17-20 May 2022 </w:t>
            </w:r>
          </w:p>
        </w:tc>
        <w:tc>
          <w:tcPr>
            <w:tcW w:w="5300" w:type="dxa"/>
            <w:gridSpan w:val="2"/>
            <w:tcBorders>
              <w:top w:val="nil"/>
              <w:left w:val="nil"/>
              <w:bottom w:val="nil"/>
              <w:right w:val="nil"/>
            </w:tcBorders>
            <w:vAlign w:val="center"/>
          </w:tcPr>
          <w:p w14:paraId="41C9878F" w14:textId="77777777" w:rsidR="00266376" w:rsidRPr="002C4050" w:rsidRDefault="00266376" w:rsidP="00B26674">
            <w:pPr>
              <w:pStyle w:val="Header1"/>
              <w:rPr>
                <w:lang w:val="en-GB"/>
              </w:rPr>
            </w:pPr>
          </w:p>
        </w:tc>
      </w:tr>
      <w:tr w:rsidR="00266376" w:rsidRPr="002C4050" w14:paraId="407ABADE" w14:textId="77777777" w:rsidTr="00B26674">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14:paraId="36765C66" w14:textId="77777777" w:rsidR="00266376" w:rsidRPr="002C4050" w:rsidRDefault="00266376" w:rsidP="00B26674">
            <w:pPr>
              <w:pStyle w:val="Header1"/>
              <w:rPr>
                <w:sz w:val="8"/>
                <w:lang w:val="en-GB"/>
              </w:rPr>
            </w:pPr>
          </w:p>
          <w:p w14:paraId="75C393B0" w14:textId="77777777" w:rsidR="00266376" w:rsidRPr="002C4050" w:rsidRDefault="00266376" w:rsidP="00B26674">
            <w:pPr>
              <w:pStyle w:val="Header1"/>
              <w:rPr>
                <w:sz w:val="8"/>
                <w:lang w:val="en-GB"/>
              </w:rPr>
            </w:pPr>
          </w:p>
          <w:p w14:paraId="6B05B096" w14:textId="77777777" w:rsidR="00266376" w:rsidRPr="002C4050" w:rsidRDefault="00266376" w:rsidP="00B26674">
            <w:pPr>
              <w:pStyle w:val="Header1"/>
              <w:rPr>
                <w:sz w:val="8"/>
                <w:lang w:val="en-GB"/>
              </w:rPr>
            </w:pPr>
          </w:p>
        </w:tc>
        <w:tc>
          <w:tcPr>
            <w:tcW w:w="5300" w:type="dxa"/>
            <w:gridSpan w:val="2"/>
            <w:tcBorders>
              <w:top w:val="nil"/>
              <w:left w:val="nil"/>
              <w:bottom w:val="nil"/>
              <w:right w:val="nil"/>
            </w:tcBorders>
            <w:vAlign w:val="center"/>
          </w:tcPr>
          <w:p w14:paraId="545448D3" w14:textId="77777777" w:rsidR="00266376" w:rsidRPr="002C4050" w:rsidRDefault="00266376" w:rsidP="00B26674">
            <w:pPr>
              <w:pStyle w:val="Header1"/>
              <w:rPr>
                <w:sz w:val="8"/>
                <w:lang w:val="en-GB"/>
              </w:rPr>
            </w:pPr>
          </w:p>
        </w:tc>
      </w:tr>
      <w:tr w:rsidR="00266376" w:rsidRPr="002C4050" w14:paraId="1EBD1570" w14:textId="77777777" w:rsidTr="00B26674">
        <w:tblPrEx>
          <w:tblCellMar>
            <w:left w:w="108" w:type="dxa"/>
            <w:right w:w="108" w:type="dxa"/>
          </w:tblCellMar>
        </w:tblPrEx>
        <w:trPr>
          <w:cantSplit/>
          <w:trHeight w:val="405"/>
        </w:trPr>
        <w:tc>
          <w:tcPr>
            <w:tcW w:w="1843" w:type="dxa"/>
            <w:tcBorders>
              <w:top w:val="nil"/>
              <w:left w:val="nil"/>
              <w:bottom w:val="nil"/>
              <w:right w:val="nil"/>
            </w:tcBorders>
            <w:vAlign w:val="center"/>
          </w:tcPr>
          <w:p w14:paraId="3F5FA5EC" w14:textId="77777777" w:rsidR="00266376" w:rsidRPr="002C4050" w:rsidRDefault="00266376" w:rsidP="00B26674">
            <w:pPr>
              <w:pStyle w:val="Header1"/>
              <w:rPr>
                <w:lang w:val="en-GB"/>
              </w:rPr>
            </w:pPr>
            <w:r w:rsidRPr="002C4050">
              <w:rPr>
                <w:lang w:val="en-GB"/>
              </w:rPr>
              <w:t>Date issued:</w:t>
            </w:r>
          </w:p>
        </w:tc>
        <w:tc>
          <w:tcPr>
            <w:tcW w:w="7797" w:type="dxa"/>
            <w:gridSpan w:val="3"/>
            <w:tcBorders>
              <w:top w:val="nil"/>
              <w:left w:val="nil"/>
              <w:bottom w:val="nil"/>
              <w:right w:val="nil"/>
            </w:tcBorders>
            <w:vAlign w:val="center"/>
          </w:tcPr>
          <w:p w14:paraId="536D2F51" w14:textId="070C3904" w:rsidR="00266376" w:rsidRPr="002C4050" w:rsidRDefault="008966FC" w:rsidP="008966FC">
            <w:pPr>
              <w:pStyle w:val="Header1"/>
              <w:rPr>
                <w:lang w:val="en-GB"/>
              </w:rPr>
            </w:pPr>
            <w:r>
              <w:rPr>
                <w:lang w:val="en-GB"/>
              </w:rPr>
              <w:t>19</w:t>
            </w:r>
            <w:r w:rsidR="00266376" w:rsidRPr="002C4050">
              <w:rPr>
                <w:lang w:val="en-GB"/>
              </w:rPr>
              <w:t xml:space="preserve"> Ma</w:t>
            </w:r>
            <w:r>
              <w:rPr>
                <w:lang w:val="en-GB"/>
              </w:rPr>
              <w:t>y</w:t>
            </w:r>
            <w:r w:rsidR="00266376" w:rsidRPr="002C4050">
              <w:rPr>
                <w:lang w:val="en-GB"/>
              </w:rPr>
              <w:t xml:space="preserve"> 2022</w:t>
            </w:r>
          </w:p>
        </w:tc>
      </w:tr>
      <w:tr w:rsidR="00266376" w:rsidRPr="002C4050" w14:paraId="20314AEC" w14:textId="77777777" w:rsidTr="00B26674">
        <w:tblPrEx>
          <w:tblCellMar>
            <w:left w:w="108" w:type="dxa"/>
            <w:right w:w="108" w:type="dxa"/>
          </w:tblCellMar>
        </w:tblPrEx>
        <w:trPr>
          <w:cantSplit/>
          <w:trHeight w:val="405"/>
        </w:trPr>
        <w:tc>
          <w:tcPr>
            <w:tcW w:w="1843" w:type="dxa"/>
            <w:tcBorders>
              <w:top w:val="nil"/>
              <w:left w:val="nil"/>
              <w:bottom w:val="nil"/>
              <w:right w:val="nil"/>
            </w:tcBorders>
            <w:vAlign w:val="center"/>
          </w:tcPr>
          <w:p w14:paraId="56EC2973" w14:textId="77777777" w:rsidR="00266376" w:rsidRPr="002C4050" w:rsidRDefault="00266376" w:rsidP="00B26674">
            <w:pPr>
              <w:pStyle w:val="Header1"/>
              <w:rPr>
                <w:lang w:val="en-GB"/>
              </w:rPr>
            </w:pPr>
            <w:r w:rsidRPr="002C4050">
              <w:rPr>
                <w:lang w:val="en-GB"/>
              </w:rPr>
              <w:t>Source:</w:t>
            </w:r>
          </w:p>
        </w:tc>
        <w:tc>
          <w:tcPr>
            <w:tcW w:w="7797" w:type="dxa"/>
            <w:gridSpan w:val="3"/>
            <w:tcBorders>
              <w:top w:val="nil"/>
              <w:left w:val="nil"/>
              <w:bottom w:val="nil"/>
              <w:right w:val="nil"/>
            </w:tcBorders>
            <w:vAlign w:val="center"/>
          </w:tcPr>
          <w:p w14:paraId="3CFF10B9" w14:textId="699713CF" w:rsidR="00266376" w:rsidRPr="002C4050" w:rsidRDefault="007379EE" w:rsidP="007379EE">
            <w:pPr>
              <w:pStyle w:val="Header1"/>
              <w:rPr>
                <w:szCs w:val="22"/>
                <w:lang w:val="en-GB"/>
              </w:rPr>
            </w:pPr>
            <w:r>
              <w:rPr>
                <w:lang w:val="en-GB"/>
              </w:rPr>
              <w:t>PT ITU-T Chair</w:t>
            </w:r>
          </w:p>
        </w:tc>
      </w:tr>
      <w:tr w:rsidR="00266376" w:rsidRPr="002C4050" w14:paraId="196CA98C" w14:textId="77777777" w:rsidTr="00B26674">
        <w:tblPrEx>
          <w:tblCellMar>
            <w:left w:w="108" w:type="dxa"/>
            <w:right w:w="108" w:type="dxa"/>
          </w:tblCellMar>
        </w:tblPrEx>
        <w:trPr>
          <w:cantSplit/>
          <w:trHeight w:val="405"/>
        </w:trPr>
        <w:tc>
          <w:tcPr>
            <w:tcW w:w="1843" w:type="dxa"/>
            <w:tcBorders>
              <w:top w:val="nil"/>
              <w:left w:val="nil"/>
              <w:bottom w:val="nil"/>
              <w:right w:val="nil"/>
            </w:tcBorders>
            <w:vAlign w:val="center"/>
          </w:tcPr>
          <w:p w14:paraId="1E13FEAD" w14:textId="77777777" w:rsidR="00266376" w:rsidRPr="002C4050" w:rsidRDefault="00266376" w:rsidP="00B26674">
            <w:pPr>
              <w:pStyle w:val="Header1"/>
              <w:rPr>
                <w:lang w:val="en-GB"/>
              </w:rPr>
            </w:pPr>
            <w:r w:rsidRPr="002C4050">
              <w:rPr>
                <w:lang w:val="en-GB"/>
              </w:rPr>
              <w:t>Subject:</w:t>
            </w:r>
          </w:p>
        </w:tc>
        <w:tc>
          <w:tcPr>
            <w:tcW w:w="7797" w:type="dxa"/>
            <w:gridSpan w:val="3"/>
            <w:tcBorders>
              <w:top w:val="nil"/>
              <w:left w:val="nil"/>
              <w:bottom w:val="nil"/>
              <w:right w:val="nil"/>
            </w:tcBorders>
            <w:vAlign w:val="center"/>
          </w:tcPr>
          <w:p w14:paraId="001DFC82" w14:textId="427A5A7B" w:rsidR="00266376" w:rsidRPr="002C4050" w:rsidRDefault="007379EE" w:rsidP="007379EE">
            <w:pPr>
              <w:pStyle w:val="Header1"/>
              <w:rPr>
                <w:lang w:val="en-GB"/>
              </w:rPr>
            </w:pPr>
            <w:r>
              <w:rPr>
                <w:lang w:val="en-GB"/>
              </w:rPr>
              <w:t>Draft Report CEPT Com</w:t>
            </w:r>
            <w:r w:rsidR="009C7C49">
              <w:rPr>
                <w:lang w:val="en-GB"/>
              </w:rPr>
              <w:t>-</w:t>
            </w:r>
            <w:r>
              <w:rPr>
                <w:lang w:val="en-GB"/>
              </w:rPr>
              <w:t xml:space="preserve">ITU WTSA-20 </w:t>
            </w:r>
          </w:p>
        </w:tc>
      </w:tr>
    </w:tbl>
    <w:p w14:paraId="78B11AAD" w14:textId="77777777" w:rsidR="00266376" w:rsidRPr="002C4050" w:rsidRDefault="00266376" w:rsidP="00266376">
      <w:pPr>
        <w:rPr>
          <w:lang w:val="en-GB"/>
        </w:rPr>
      </w:pPr>
      <w:r w:rsidRPr="002C4050">
        <w:rPr>
          <w:noProof/>
          <w:lang w:val="de-DE"/>
        </w:rPr>
        <mc:AlternateContent>
          <mc:Choice Requires="wps">
            <w:drawing>
              <wp:anchor distT="0" distB="0" distL="114300" distR="114300" simplePos="0" relativeHeight="251661312" behindDoc="1" locked="0" layoutInCell="1" allowOverlap="1" wp14:anchorId="79403B50" wp14:editId="303055B6">
                <wp:simplePos x="0" y="0"/>
                <wp:positionH relativeFrom="column">
                  <wp:posOffset>2600325</wp:posOffset>
                </wp:positionH>
                <wp:positionV relativeFrom="paragraph">
                  <wp:posOffset>187960</wp:posOffset>
                </wp:positionV>
                <wp:extent cx="457200" cy="348615"/>
                <wp:effectExtent l="0" t="0" r="0" b="0"/>
                <wp:wrapTight wrapText="bothSides">
                  <wp:wrapPolygon edited="0">
                    <wp:start x="0" y="0"/>
                    <wp:lineTo x="0" y="21246"/>
                    <wp:lineTo x="21600" y="21246"/>
                    <wp:lineTo x="21600" y="0"/>
                    <wp:lineTo x="0" y="0"/>
                  </wp:wrapPolygon>
                </wp:wrapTight>
                <wp:docPr id="3"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14:paraId="188E6456" w14:textId="77777777" w:rsidR="00266376" w:rsidRPr="00254FD9" w:rsidRDefault="00266376" w:rsidP="00266376">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03B50" id="_x0000_t202" coordsize="21600,21600" o:spt="202" path="m,l,21600r21600,l21600,xe">
                <v:stroke joinstyle="miter"/>
                <v:path gradientshapeok="t" o:connecttype="rect"/>
              </v:shapetype>
              <v:shape id="Textruta 1" o:spid="_x0000_s1026" type="#_x0000_t202" style="position:absolute;left:0;text-align:left;margin-left:204.75pt;margin-top:14.8pt;width:36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5bKAIAAE8EAAAOAAAAZHJzL2Uyb0RvYy54bWysVMtu2zAQvBfoPxC817IdO3UEy0Hq1EWB&#10;9AEk/QCKoiSiFJdd0pbSr8+Sclz3dSmqA8HHcjg7s6v19dAZdlDoNdiCzyZTzpSVUGnbFPzLw+7V&#10;ijMfhK2EAasK/qg8v968fLHuXa7m0IKpFDICsT7vXcHbEFyeZV62qhN+Ak5ZOqwBOxFoiU1WoegJ&#10;vTPZfDq9zHrAyiFI5T3t3o6HfJPw61rJ8KmuvQrMFJy4hTRiGss4Zpu1yBsUrtXySEP8A4tOaEuP&#10;nqBuRRBsj/o3qE5LBA91mEjoMqhrLVXKgbKZTX/J5r4VTqVcSBzvTjL5/wcrPx4+I9NVwS84s6Ij&#10;ix7UEHBP/GdRnd75nILuHYWF4Q0M5HLK1Ls7kF89s7BthW3UDSL0rRIVsUs3s7OrI46PIGX/ASp6&#10;RuwDJKChxi5KR2IwQieXHk/OEBUmaXOxfE1ucybp6GKxupwtI7dM5M+XHfrwTkHH4qTgSMYncHG4&#10;82EMfQ6Jb3kwutppY9ICm3JrkB0EFckufUf0n8KMZX3Br5bz5Zj/XyGm6fsTRKcDVbvRXcFXpyCR&#10;R9Xe2irVYhDajHPKzlhKMsoYlRs1DEM5HG0poXokQRHGqqYupEkL+J2zniq64P7bXqDizLy3ZMrV&#10;bLGILZAWSVDO8PykPD8RVhJUwQNn43QbxrbZO9RNSy+NZWDhhoysdRI5Uh1ZHXlT1Sabjh0W2+J8&#10;naJ+/Ac2TwAAAP//AwBQSwMEFAAGAAgAAAAhAE/FrFDfAAAACQEAAA8AAABkcnMvZG93bnJldi54&#10;bWxMj8FOwzAMhu9IvENkJC5oSze60pamE0ICsRtsCK5Z47UViVOSrCtvT3aCo+1fn7+/Wk9GsxGd&#10;7y0JWMwTYEiNVT21At53T7McmA+SlNSWUMAPeljXlxeVLJU90RuO29CyCCFfSgFdCEPJuW86NNLP&#10;7YAUbwfrjAxxdC1XTp4i3Gi+TJKMG9lT/NDJAR87bL62RyMgT1/GT7+5ff1osoMuws3d+PzthLi+&#10;mh7ugQWcwl8YzvpRHerotLdHUp5pAWlSrGJUwLLIgMVAmi/iYn+mr4DXFf/foP4FAAD//wMAUEsB&#10;Ai0AFAAGAAgAAAAhALaDOJL+AAAA4QEAABMAAAAAAAAAAAAAAAAAAAAAAFtDb250ZW50X1R5cGVz&#10;XS54bWxQSwECLQAUAAYACAAAACEAOP0h/9YAAACUAQAACwAAAAAAAAAAAAAAAAAvAQAAX3JlbHMv&#10;LnJlbHNQSwECLQAUAAYACAAAACEAz0SeWygCAABPBAAADgAAAAAAAAAAAAAAAAAuAgAAZHJzL2Uy&#10;b0RvYy54bWxQSwECLQAUAAYACAAAACEAT8WsUN8AAAAJAQAADwAAAAAAAAAAAAAAAACCBAAAZHJz&#10;L2Rvd25yZXYueG1sUEsFBgAAAAAEAAQA8wAAAI4FAAAAAA==&#10;">
                <v:textbox>
                  <w:txbxContent>
                    <w:p w14:paraId="188E6456" w14:textId="77777777" w:rsidR="00266376" w:rsidRPr="00254FD9" w:rsidRDefault="00266376" w:rsidP="00266376">
                      <w:pPr>
                        <w:jc w:val="center"/>
                        <w:rPr>
                          <w:rFonts w:cs="Arial"/>
                          <w:szCs w:val="24"/>
                          <w:lang w:val="de-DE"/>
                        </w:rPr>
                      </w:pPr>
                      <w:r>
                        <w:rPr>
                          <w:rFonts w:cs="Arial"/>
                          <w:szCs w:val="24"/>
                          <w:lang w:val="de-DE"/>
                        </w:rPr>
                        <w:t>N</w:t>
                      </w:r>
                    </w:p>
                  </w:txbxContent>
                </v:textbox>
                <w10:wrap type="tight"/>
              </v:shape>
            </w:pict>
          </mc:Fallback>
        </mc:AlternateContent>
      </w:r>
    </w:p>
    <w:p w14:paraId="3D595D9C" w14:textId="77777777" w:rsidR="00266376" w:rsidRPr="002C4050" w:rsidRDefault="00266376" w:rsidP="00266376">
      <w:pPr>
        <w:rPr>
          <w:lang w:val="en-GB"/>
        </w:rPr>
      </w:pPr>
      <w:r w:rsidRPr="002C4050">
        <w:rPr>
          <w:lang w:val="en-GB"/>
        </w:rPr>
        <w:t xml:space="preserve">Password protection </w:t>
      </w:r>
      <w:proofErr w:type="gramStart"/>
      <w:r w:rsidRPr="002C4050">
        <w:rPr>
          <w:lang w:val="en-GB"/>
        </w:rPr>
        <w:t>required?</w:t>
      </w:r>
      <w:proofErr w:type="gramEnd"/>
      <w:r w:rsidRPr="002C4050">
        <w:rPr>
          <w:lang w:val="en-GB"/>
        </w:rPr>
        <w:t xml:space="preserve"> (Y/N) </w:t>
      </w:r>
    </w:p>
    <w:p w14:paraId="0B24A5DB" w14:textId="77777777" w:rsidR="00C570B3" w:rsidRPr="002C4050" w:rsidRDefault="00C570B3" w:rsidP="00266376">
      <w:pPr>
        <w:rPr>
          <w:b/>
          <w:bCs/>
          <w:lang w:val="en-GB"/>
        </w:rPr>
      </w:pPr>
    </w:p>
    <w:p w14:paraId="6AFECBA8" w14:textId="09355D5B" w:rsidR="00C570B3" w:rsidRPr="002C4050" w:rsidRDefault="00C570B3" w:rsidP="00C570B3">
      <w:pPr>
        <w:spacing w:line="300" w:lineRule="atLeast"/>
        <w:jc w:val="center"/>
        <w:rPr>
          <w:b/>
          <w:sz w:val="28"/>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C570B3" w:rsidRPr="002C4050" w14:paraId="35328FAF" w14:textId="77777777" w:rsidTr="00EC6B29">
        <w:trPr>
          <w:cantSplit/>
          <w:trHeight w:val="446"/>
        </w:trPr>
        <w:tc>
          <w:tcPr>
            <w:tcW w:w="9640" w:type="dxa"/>
            <w:tcBorders>
              <w:bottom w:val="nil"/>
            </w:tcBorders>
          </w:tcPr>
          <w:p w14:paraId="4BD7E9D6" w14:textId="77777777" w:rsidR="00C570B3" w:rsidRPr="002C4050" w:rsidRDefault="00C570B3" w:rsidP="00EC6B29">
            <w:pPr>
              <w:tabs>
                <w:tab w:val="center" w:pos="4536"/>
                <w:tab w:val="right" w:pos="9072"/>
              </w:tabs>
              <w:spacing w:line="300" w:lineRule="atLeast"/>
              <w:rPr>
                <w:b/>
                <w:lang w:val="en-GB"/>
              </w:rPr>
            </w:pPr>
            <w:r w:rsidRPr="002C4050">
              <w:rPr>
                <w:b/>
                <w:lang w:val="en-GB"/>
              </w:rPr>
              <w:t xml:space="preserve">Summary: </w:t>
            </w:r>
          </w:p>
        </w:tc>
      </w:tr>
      <w:tr w:rsidR="00C570B3" w:rsidRPr="002C4050" w14:paraId="0C241C2D" w14:textId="77777777" w:rsidTr="00EC6B29">
        <w:trPr>
          <w:cantSplit/>
          <w:trHeight w:val="1112"/>
        </w:trPr>
        <w:tc>
          <w:tcPr>
            <w:tcW w:w="9640" w:type="dxa"/>
            <w:tcBorders>
              <w:top w:val="nil"/>
              <w:bottom w:val="single" w:sz="4" w:space="0" w:color="auto"/>
            </w:tcBorders>
          </w:tcPr>
          <w:p w14:paraId="224667ED" w14:textId="5C7656DD" w:rsidR="00C570B3" w:rsidRPr="002C4050" w:rsidRDefault="00C570B3" w:rsidP="0007376D">
            <w:pPr>
              <w:spacing w:line="300" w:lineRule="atLeast"/>
              <w:rPr>
                <w:lang w:val="en-GB"/>
              </w:rPr>
            </w:pPr>
            <w:r w:rsidRPr="002C4050">
              <w:rPr>
                <w:lang w:val="en-GB"/>
              </w:rPr>
              <w:t xml:space="preserve">The document </w:t>
            </w:r>
            <w:r w:rsidR="0007376D" w:rsidRPr="002C4050">
              <w:rPr>
                <w:lang w:val="en-GB"/>
              </w:rPr>
              <w:t xml:space="preserve">gives an overview </w:t>
            </w:r>
            <w:r w:rsidR="007F776C" w:rsidRPr="002C4050">
              <w:rPr>
                <w:lang w:val="en-GB"/>
              </w:rPr>
              <w:t xml:space="preserve">and an assessment </w:t>
            </w:r>
            <w:r w:rsidR="000F1D82" w:rsidRPr="002C4050">
              <w:rPr>
                <w:lang w:val="en-GB"/>
              </w:rPr>
              <w:t>of the results of WT</w:t>
            </w:r>
            <w:r w:rsidR="00EA3C45" w:rsidRPr="002C4050">
              <w:rPr>
                <w:lang w:val="en-GB"/>
              </w:rPr>
              <w:t>SA-20</w:t>
            </w:r>
            <w:r w:rsidR="00F95565" w:rsidRPr="002C4050">
              <w:rPr>
                <w:lang w:val="en-GB"/>
              </w:rPr>
              <w:t xml:space="preserve">. </w:t>
            </w:r>
            <w:r w:rsidR="000F1D82" w:rsidRPr="002C4050">
              <w:rPr>
                <w:lang w:val="en-GB"/>
              </w:rPr>
              <w:t xml:space="preserve"> </w:t>
            </w:r>
          </w:p>
          <w:p w14:paraId="6FBEF75A" w14:textId="67DA5EF4" w:rsidR="00F95565" w:rsidRPr="002C4050" w:rsidRDefault="00F95565" w:rsidP="00F249F3">
            <w:pPr>
              <w:spacing w:line="300" w:lineRule="atLeast"/>
              <w:rPr>
                <w:lang w:val="en-GB"/>
              </w:rPr>
            </w:pPr>
            <w:r w:rsidRPr="002C4050">
              <w:rPr>
                <w:lang w:val="en-GB"/>
              </w:rPr>
              <w:t xml:space="preserve">This is </w:t>
            </w:r>
            <w:r w:rsidR="00F249F3" w:rsidRPr="002C4050">
              <w:rPr>
                <w:lang w:val="en-GB"/>
              </w:rPr>
              <w:t>the first D</w:t>
            </w:r>
            <w:r w:rsidRPr="002C4050">
              <w:rPr>
                <w:lang w:val="en-GB"/>
              </w:rPr>
              <w:t xml:space="preserve">raft </w:t>
            </w:r>
            <w:r w:rsidR="00F249F3" w:rsidRPr="002C4050">
              <w:rPr>
                <w:lang w:val="en-GB"/>
              </w:rPr>
              <w:t xml:space="preserve">WTSA-20 </w:t>
            </w:r>
            <w:r w:rsidR="00A8160C" w:rsidRPr="002C4050">
              <w:rPr>
                <w:lang w:val="en-GB"/>
              </w:rPr>
              <w:t>r</w:t>
            </w:r>
            <w:r w:rsidR="00F249F3" w:rsidRPr="002C4050">
              <w:rPr>
                <w:lang w:val="en-GB"/>
              </w:rPr>
              <w:t xml:space="preserve">eport. </w:t>
            </w:r>
          </w:p>
        </w:tc>
      </w:tr>
      <w:tr w:rsidR="00C570B3" w:rsidRPr="002C4050" w14:paraId="6C6112C8" w14:textId="77777777" w:rsidTr="00EC6B29">
        <w:trPr>
          <w:cantSplit/>
          <w:trHeight w:val="443"/>
        </w:trPr>
        <w:tc>
          <w:tcPr>
            <w:tcW w:w="9640" w:type="dxa"/>
            <w:tcBorders>
              <w:bottom w:val="nil"/>
            </w:tcBorders>
          </w:tcPr>
          <w:p w14:paraId="6059B426" w14:textId="77777777" w:rsidR="00C570B3" w:rsidRPr="002C4050" w:rsidRDefault="00C570B3" w:rsidP="00EC6B29">
            <w:pPr>
              <w:tabs>
                <w:tab w:val="center" w:pos="4536"/>
                <w:tab w:val="right" w:pos="9072"/>
              </w:tabs>
              <w:spacing w:line="300" w:lineRule="atLeast"/>
              <w:rPr>
                <w:b/>
                <w:lang w:val="en-GB"/>
              </w:rPr>
            </w:pPr>
            <w:r w:rsidRPr="002C4050">
              <w:rPr>
                <w:b/>
                <w:lang w:val="en-GB"/>
              </w:rPr>
              <w:t xml:space="preserve">Proposal: </w:t>
            </w:r>
          </w:p>
        </w:tc>
      </w:tr>
      <w:tr w:rsidR="00C570B3" w:rsidRPr="002C4050" w14:paraId="0AF88539" w14:textId="77777777" w:rsidTr="00EC6B29">
        <w:trPr>
          <w:cantSplit/>
          <w:trHeight w:val="945"/>
        </w:trPr>
        <w:tc>
          <w:tcPr>
            <w:tcW w:w="9640" w:type="dxa"/>
            <w:tcBorders>
              <w:top w:val="nil"/>
              <w:bottom w:val="single" w:sz="4" w:space="0" w:color="auto"/>
            </w:tcBorders>
          </w:tcPr>
          <w:p w14:paraId="631A81F5" w14:textId="2C422BA5" w:rsidR="00C570B3" w:rsidRPr="002C4050" w:rsidRDefault="00F95565" w:rsidP="00F249F3">
            <w:pPr>
              <w:spacing w:line="300" w:lineRule="atLeast"/>
              <w:rPr>
                <w:lang w:val="en-GB"/>
              </w:rPr>
            </w:pPr>
            <w:r w:rsidRPr="002C4050">
              <w:rPr>
                <w:bCs/>
                <w:lang w:val="en-GB"/>
              </w:rPr>
              <w:t>Com</w:t>
            </w:r>
            <w:r w:rsidR="0026504C">
              <w:rPr>
                <w:bCs/>
                <w:lang w:val="en-GB"/>
              </w:rPr>
              <w:t>-</w:t>
            </w:r>
            <w:r w:rsidRPr="002C4050">
              <w:rPr>
                <w:bCs/>
                <w:lang w:val="en-GB"/>
              </w:rPr>
              <w:t>ITU Plenary</w:t>
            </w:r>
            <w:r w:rsidR="0007376D" w:rsidRPr="002C4050">
              <w:rPr>
                <w:bCs/>
                <w:lang w:val="en-GB"/>
              </w:rPr>
              <w:t xml:space="preserve"> </w:t>
            </w:r>
            <w:r w:rsidR="00A165C0">
              <w:rPr>
                <w:bCs/>
                <w:lang w:val="en-GB"/>
              </w:rPr>
              <w:t>is invited to approve the draft WTSA-20 report</w:t>
            </w:r>
            <w:r w:rsidR="00C13A92">
              <w:rPr>
                <w:bCs/>
                <w:lang w:val="en-GB"/>
              </w:rPr>
              <w:t>.</w:t>
            </w:r>
            <w:r w:rsidR="0007376D" w:rsidRPr="002C4050">
              <w:rPr>
                <w:bCs/>
                <w:lang w:val="en-GB"/>
              </w:rPr>
              <w:t xml:space="preserve"> </w:t>
            </w:r>
          </w:p>
        </w:tc>
      </w:tr>
      <w:tr w:rsidR="00C570B3" w:rsidRPr="002C4050" w14:paraId="6DF4515A" w14:textId="77777777" w:rsidTr="00EC6B29">
        <w:trPr>
          <w:cantSplit/>
          <w:trHeight w:val="431"/>
        </w:trPr>
        <w:tc>
          <w:tcPr>
            <w:tcW w:w="9640" w:type="dxa"/>
            <w:tcBorders>
              <w:bottom w:val="nil"/>
            </w:tcBorders>
          </w:tcPr>
          <w:p w14:paraId="7B1BA0CA" w14:textId="77777777" w:rsidR="00C570B3" w:rsidRPr="002C4050" w:rsidRDefault="00C570B3" w:rsidP="00EC6B29">
            <w:pPr>
              <w:tabs>
                <w:tab w:val="center" w:pos="4536"/>
                <w:tab w:val="right" w:pos="9072"/>
              </w:tabs>
              <w:spacing w:line="300" w:lineRule="atLeast"/>
              <w:rPr>
                <w:b/>
                <w:lang w:val="en-GB"/>
              </w:rPr>
            </w:pPr>
            <w:r w:rsidRPr="002C4050">
              <w:rPr>
                <w:b/>
                <w:lang w:val="en-GB"/>
              </w:rPr>
              <w:t xml:space="preserve">Background: </w:t>
            </w:r>
          </w:p>
        </w:tc>
      </w:tr>
      <w:tr w:rsidR="00C570B3" w:rsidRPr="002C4050" w14:paraId="04613F1E" w14:textId="77777777" w:rsidTr="00EC6B29">
        <w:trPr>
          <w:cantSplit/>
          <w:trHeight w:val="784"/>
        </w:trPr>
        <w:tc>
          <w:tcPr>
            <w:tcW w:w="9640" w:type="dxa"/>
            <w:tcBorders>
              <w:top w:val="nil"/>
              <w:bottom w:val="single" w:sz="4" w:space="0" w:color="auto"/>
            </w:tcBorders>
          </w:tcPr>
          <w:p w14:paraId="50E1E028" w14:textId="4AAF87B7" w:rsidR="00C570B3" w:rsidRPr="002C4050" w:rsidRDefault="00F249F3" w:rsidP="00F249F3">
            <w:pPr>
              <w:spacing w:line="300" w:lineRule="atLeast"/>
              <w:rPr>
                <w:bCs/>
                <w:lang w:val="en-GB"/>
              </w:rPr>
            </w:pPr>
            <w:r w:rsidRPr="002C4050">
              <w:rPr>
                <w:bCs/>
                <w:lang w:val="en-GB"/>
              </w:rPr>
              <w:t>WTSA-20</w:t>
            </w:r>
            <w:r w:rsidR="004550A4" w:rsidRPr="002C4050">
              <w:rPr>
                <w:bCs/>
                <w:lang w:val="en-GB"/>
              </w:rPr>
              <w:t xml:space="preserve"> took place in </w:t>
            </w:r>
            <w:r w:rsidRPr="002C4050">
              <w:rPr>
                <w:bCs/>
                <w:lang w:val="en-GB"/>
              </w:rPr>
              <w:t>Geneva</w:t>
            </w:r>
            <w:r w:rsidR="004550A4" w:rsidRPr="002C4050">
              <w:rPr>
                <w:bCs/>
                <w:lang w:val="en-GB"/>
              </w:rPr>
              <w:t xml:space="preserve"> (</w:t>
            </w:r>
            <w:r w:rsidRPr="002C4050">
              <w:rPr>
                <w:bCs/>
                <w:lang w:val="en-GB"/>
              </w:rPr>
              <w:t>Switzerland) from 01 – 09 March 2022</w:t>
            </w:r>
            <w:r w:rsidR="004F2FAF" w:rsidRPr="002C4050">
              <w:rPr>
                <w:bCs/>
                <w:lang w:val="en-GB"/>
              </w:rPr>
              <w:t>.</w:t>
            </w:r>
          </w:p>
        </w:tc>
      </w:tr>
    </w:tbl>
    <w:p w14:paraId="11EDCE28" w14:textId="079174E0" w:rsidR="00266376" w:rsidRPr="002C4050" w:rsidRDefault="00266376" w:rsidP="00266376">
      <w:pPr>
        <w:rPr>
          <w:b/>
          <w:bCs/>
          <w:lang w:val="en-GB"/>
        </w:rPr>
      </w:pPr>
    </w:p>
    <w:p w14:paraId="723D5B96" w14:textId="77777777" w:rsidR="00266376" w:rsidRPr="002C4050" w:rsidRDefault="00266376">
      <w:pPr>
        <w:spacing w:after="0"/>
        <w:jc w:val="left"/>
        <w:rPr>
          <w:b/>
          <w:bCs/>
          <w:lang w:val="en-GB"/>
        </w:rPr>
      </w:pPr>
      <w:r w:rsidRPr="002C4050">
        <w:rPr>
          <w:b/>
          <w:bCs/>
          <w:lang w:val="en-GB"/>
        </w:rPr>
        <w:br w:type="page"/>
      </w:r>
    </w:p>
    <w:p w14:paraId="1FB91A38" w14:textId="486F6AB7" w:rsidR="007379EE" w:rsidRPr="007379EE" w:rsidRDefault="007379EE" w:rsidP="000F1D82">
      <w:pPr>
        <w:rPr>
          <w:b/>
          <w:sz w:val="28"/>
          <w:lang w:val="en-GB"/>
        </w:rPr>
      </w:pPr>
      <w:r w:rsidRPr="007379EE">
        <w:rPr>
          <w:b/>
          <w:sz w:val="28"/>
          <w:lang w:val="en-GB"/>
        </w:rPr>
        <w:lastRenderedPageBreak/>
        <w:t>Report on the outcomes of the WTSA-20</w:t>
      </w:r>
    </w:p>
    <w:p w14:paraId="494D4477" w14:textId="64AEC499" w:rsidR="004C2950" w:rsidRPr="002C4050" w:rsidRDefault="004C2950" w:rsidP="000F1D82">
      <w:pPr>
        <w:rPr>
          <w:b/>
          <w:bCs/>
          <w:lang w:val="en-GB"/>
        </w:rPr>
      </w:pPr>
      <w:r w:rsidRPr="002C4050">
        <w:rPr>
          <w:b/>
          <w:bCs/>
          <w:lang w:val="en-GB"/>
        </w:rPr>
        <w:t xml:space="preserve">Background </w:t>
      </w:r>
    </w:p>
    <w:p w14:paraId="54C8FB5D" w14:textId="77777777" w:rsidR="00F249F3" w:rsidRPr="002C4050" w:rsidRDefault="00F249F3" w:rsidP="00F249F3">
      <w:pPr>
        <w:pStyle w:val="ListParagraph"/>
        <w:numPr>
          <w:ilvl w:val="0"/>
          <w:numId w:val="17"/>
        </w:numPr>
        <w:rPr>
          <w:bCs/>
          <w:lang w:val="en-GB"/>
        </w:rPr>
      </w:pPr>
      <w:r w:rsidRPr="002C4050">
        <w:rPr>
          <w:bCs/>
          <w:lang w:val="en-GB"/>
        </w:rPr>
        <w:t>WTSA-20 took place in Geneva (Switzerland) from 01 – 09 March 2022.</w:t>
      </w:r>
    </w:p>
    <w:p w14:paraId="724C5A8B" w14:textId="77777777" w:rsidR="00F249F3" w:rsidRPr="002C4050" w:rsidRDefault="00F249F3" w:rsidP="00F249F3">
      <w:pPr>
        <w:pStyle w:val="ListParagraph"/>
        <w:numPr>
          <w:ilvl w:val="0"/>
          <w:numId w:val="17"/>
        </w:numPr>
        <w:spacing w:line="300" w:lineRule="atLeast"/>
        <w:rPr>
          <w:lang w:val="en-GB"/>
        </w:rPr>
      </w:pPr>
      <w:r w:rsidRPr="002C4050">
        <w:rPr>
          <w:lang w:val="en-GB"/>
        </w:rPr>
        <w:t>WTSA-20 was held from 1 to 9 March 2022 in Geneva, Switzerland. WTSA-20 was held as a physical event with interactive remote participation. Decision making was by delegates physically present in Geneva.</w:t>
      </w:r>
    </w:p>
    <w:p w14:paraId="22FCC3DE" w14:textId="1ACBAEF9" w:rsidR="00F249F3" w:rsidRPr="002C4050" w:rsidRDefault="00F249F3" w:rsidP="00F249F3">
      <w:pPr>
        <w:pStyle w:val="ListParagraph"/>
        <w:numPr>
          <w:ilvl w:val="0"/>
          <w:numId w:val="17"/>
        </w:numPr>
        <w:spacing w:line="300" w:lineRule="atLeast"/>
        <w:rPr>
          <w:lang w:val="en-GB"/>
        </w:rPr>
      </w:pPr>
      <w:r w:rsidRPr="002C4050">
        <w:rPr>
          <w:lang w:val="en-GB"/>
        </w:rPr>
        <w:t>Participation in WTSA-20 totalled 1,281 delegates: 870 physically and 411 remotely. In total, 138 Member States attended, as well as 85 other entities. Physical participants were from 125 Member States, 49 Sector Members, six Academia Members, and two United Nations specialized agencies.</w:t>
      </w:r>
    </w:p>
    <w:p w14:paraId="2AD219B7" w14:textId="48E7857A" w:rsidR="00AF584F" w:rsidRPr="001877D9" w:rsidRDefault="00AF584F" w:rsidP="001877D9">
      <w:pPr>
        <w:pStyle w:val="ListParagraph"/>
        <w:numPr>
          <w:ilvl w:val="0"/>
          <w:numId w:val="17"/>
        </w:numPr>
        <w:spacing w:line="300" w:lineRule="atLeast"/>
        <w:rPr>
          <w:lang w:val="en-GB"/>
        </w:rPr>
      </w:pPr>
      <w:r w:rsidRPr="001877D9">
        <w:rPr>
          <w:lang w:val="en-GB"/>
        </w:rPr>
        <w:t>Before WTSA-20 the Global Standards Symposium (GSS) took place.</w:t>
      </w:r>
    </w:p>
    <w:p w14:paraId="14D67C5C" w14:textId="614059FF" w:rsidR="00AF584F" w:rsidRPr="001877D9" w:rsidRDefault="00F249F3" w:rsidP="001877D9">
      <w:pPr>
        <w:pStyle w:val="ListParagraph"/>
        <w:numPr>
          <w:ilvl w:val="0"/>
          <w:numId w:val="17"/>
        </w:numPr>
        <w:spacing w:line="300" w:lineRule="atLeast"/>
        <w:rPr>
          <w:lang w:val="en-GB"/>
        </w:rPr>
      </w:pPr>
      <w:r w:rsidRPr="001877D9">
        <w:rPr>
          <w:lang w:val="en-GB"/>
        </w:rPr>
        <w:t xml:space="preserve">From the CEPT Region there were </w:t>
      </w:r>
      <w:r w:rsidR="00071CAB" w:rsidRPr="001877D9">
        <w:rPr>
          <w:lang w:val="en-GB"/>
        </w:rPr>
        <w:t>229</w:t>
      </w:r>
      <w:r w:rsidRPr="001877D9">
        <w:rPr>
          <w:lang w:val="en-GB"/>
        </w:rPr>
        <w:t xml:space="preserve"> delegates (</w:t>
      </w:r>
      <w:r w:rsidR="007B4C17" w:rsidRPr="001877D9">
        <w:rPr>
          <w:lang w:val="en-GB"/>
        </w:rPr>
        <w:t xml:space="preserve">government delegates  and </w:t>
      </w:r>
      <w:r w:rsidR="002D40C0" w:rsidRPr="001877D9">
        <w:rPr>
          <w:lang w:val="en-GB"/>
        </w:rPr>
        <w:t>from industry)</w:t>
      </w:r>
      <w:r w:rsidRPr="001877D9">
        <w:rPr>
          <w:lang w:val="en-GB"/>
        </w:rPr>
        <w:t xml:space="preserve"> from </w:t>
      </w:r>
      <w:r w:rsidR="005D0E28" w:rsidRPr="001877D9">
        <w:rPr>
          <w:lang w:val="en-GB"/>
        </w:rPr>
        <w:t>40</w:t>
      </w:r>
      <w:r w:rsidRPr="001877D9">
        <w:rPr>
          <w:lang w:val="en-GB"/>
        </w:rPr>
        <w:t xml:space="preserve"> CEPT member states (</w:t>
      </w:r>
      <w:r w:rsidR="002D40C0" w:rsidRPr="001877D9">
        <w:rPr>
          <w:lang w:val="en-GB"/>
        </w:rPr>
        <w:t xml:space="preserve">Albania, </w:t>
      </w:r>
      <w:r w:rsidRPr="001877D9">
        <w:rPr>
          <w:lang w:val="en-GB"/>
        </w:rPr>
        <w:t xml:space="preserve">Austria, Azerbaijan, </w:t>
      </w:r>
      <w:r w:rsidR="002D40C0" w:rsidRPr="001877D9">
        <w:rPr>
          <w:lang w:val="en-GB"/>
        </w:rPr>
        <w:t xml:space="preserve">Belarus, Bosnia and Herzegovina, </w:t>
      </w:r>
      <w:r w:rsidRPr="001877D9">
        <w:rPr>
          <w:lang w:val="en-GB"/>
        </w:rPr>
        <w:t xml:space="preserve">Bulgaria, </w:t>
      </w:r>
      <w:r w:rsidR="002D40C0" w:rsidRPr="001877D9">
        <w:rPr>
          <w:lang w:val="en-GB"/>
        </w:rPr>
        <w:t xml:space="preserve">Croatia, </w:t>
      </w:r>
      <w:r w:rsidRPr="001877D9">
        <w:rPr>
          <w:lang w:val="en-GB"/>
        </w:rPr>
        <w:t xml:space="preserve">Czech Republic, </w:t>
      </w:r>
      <w:r w:rsidR="002D40C0" w:rsidRPr="001877D9">
        <w:rPr>
          <w:lang w:val="en-GB"/>
        </w:rPr>
        <w:t xml:space="preserve">Denmark, Estonia, </w:t>
      </w:r>
      <w:r w:rsidRPr="001877D9">
        <w:rPr>
          <w:lang w:val="en-GB"/>
        </w:rPr>
        <w:t xml:space="preserve">Finland, France, </w:t>
      </w:r>
      <w:r w:rsidR="002D40C0" w:rsidRPr="001877D9">
        <w:rPr>
          <w:lang w:val="en-GB"/>
        </w:rPr>
        <w:t xml:space="preserve">Georgia, </w:t>
      </w:r>
      <w:r w:rsidRPr="001877D9">
        <w:rPr>
          <w:lang w:val="en-GB"/>
        </w:rPr>
        <w:t>Germany,</w:t>
      </w:r>
      <w:r w:rsidR="002D40C0" w:rsidRPr="001877D9">
        <w:rPr>
          <w:lang w:val="en-GB"/>
        </w:rPr>
        <w:t xml:space="preserve"> Greece, Hungary, Iceland, Ireland,</w:t>
      </w:r>
      <w:r w:rsidRPr="001877D9">
        <w:rPr>
          <w:lang w:val="en-GB"/>
        </w:rPr>
        <w:t xml:space="preserve"> Italy, </w:t>
      </w:r>
      <w:r w:rsidR="002D40C0" w:rsidRPr="001877D9">
        <w:rPr>
          <w:lang w:val="en-GB"/>
        </w:rPr>
        <w:t xml:space="preserve">Latvia, Liechtenstein, Lithuania, Luxembourg, Malta, Moldova, Montenegro, Netherlands, </w:t>
      </w:r>
      <w:r w:rsidRPr="001877D9">
        <w:rPr>
          <w:lang w:val="en-GB"/>
        </w:rPr>
        <w:t xml:space="preserve">Norway, Poland, Portugal, </w:t>
      </w:r>
      <w:r w:rsidR="002D40C0" w:rsidRPr="001877D9">
        <w:rPr>
          <w:lang w:val="en-GB"/>
        </w:rPr>
        <w:t xml:space="preserve">Romania, </w:t>
      </w:r>
      <w:r w:rsidRPr="001877D9">
        <w:rPr>
          <w:lang w:val="en-GB"/>
        </w:rPr>
        <w:t xml:space="preserve">Russian Federation, </w:t>
      </w:r>
      <w:r w:rsidR="002D40C0" w:rsidRPr="001877D9">
        <w:rPr>
          <w:lang w:val="en-GB"/>
        </w:rPr>
        <w:t xml:space="preserve">Slovak Republic, Slovenia, </w:t>
      </w:r>
      <w:r w:rsidRPr="001877D9">
        <w:rPr>
          <w:lang w:val="en-GB"/>
        </w:rPr>
        <w:t xml:space="preserve">Spain, Sweden, Switzerland, Turkey, Ukraine and United Kingdom). There were also delegates from other stakeholders (such as SDOs and NGOs), including from the European Region.  </w:t>
      </w:r>
    </w:p>
    <w:p w14:paraId="2F7A3228" w14:textId="0A89D9CD" w:rsidR="004F2FAF" w:rsidRPr="002C4050" w:rsidRDefault="004F2FAF" w:rsidP="004F2FAF">
      <w:pPr>
        <w:spacing w:line="300" w:lineRule="atLeast"/>
        <w:rPr>
          <w:rFonts w:cs="Arial"/>
          <w:b/>
          <w:lang w:val="en-GB"/>
        </w:rPr>
      </w:pPr>
      <w:r w:rsidRPr="002C4050">
        <w:rPr>
          <w:rFonts w:cs="Arial"/>
          <w:b/>
          <w:lang w:val="en-GB"/>
        </w:rPr>
        <w:t xml:space="preserve">Significant outcomes </w:t>
      </w:r>
      <w:r w:rsidR="007B4C17" w:rsidRPr="002C4050">
        <w:rPr>
          <w:rFonts w:cs="Arial"/>
          <w:b/>
          <w:lang w:val="en-GB"/>
        </w:rPr>
        <w:t>and brief assessment of WTSA-20</w:t>
      </w:r>
    </w:p>
    <w:p w14:paraId="17161A9A" w14:textId="0AC48049" w:rsidR="004F2FAF" w:rsidRPr="002C4050" w:rsidRDefault="004F2FAF" w:rsidP="00A43529">
      <w:pPr>
        <w:pStyle w:val="CommentText"/>
        <w:numPr>
          <w:ilvl w:val="0"/>
          <w:numId w:val="19"/>
        </w:numPr>
        <w:ind w:left="709" w:hanging="284"/>
        <w:rPr>
          <w:sz w:val="22"/>
          <w:szCs w:val="22"/>
          <w:lang w:val="en-GB"/>
        </w:rPr>
      </w:pPr>
      <w:r w:rsidRPr="002C4050">
        <w:rPr>
          <w:sz w:val="22"/>
          <w:szCs w:val="22"/>
          <w:lang w:val="en-GB"/>
        </w:rPr>
        <w:t xml:space="preserve">Europe successfully contributed to setting the procedural framework, the </w:t>
      </w:r>
      <w:proofErr w:type="gramStart"/>
      <w:r w:rsidRPr="002C4050">
        <w:rPr>
          <w:sz w:val="22"/>
          <w:szCs w:val="22"/>
          <w:lang w:val="en-GB"/>
        </w:rPr>
        <w:t>activities</w:t>
      </w:r>
      <w:proofErr w:type="gramEnd"/>
      <w:r w:rsidRPr="002C4050">
        <w:rPr>
          <w:sz w:val="22"/>
          <w:szCs w:val="22"/>
          <w:lang w:val="en-GB"/>
        </w:rPr>
        <w:t xml:space="preserve"> and the priorities of the Sector for the next study period.</w:t>
      </w:r>
    </w:p>
    <w:p w14:paraId="46074ACE" w14:textId="5B24B4EE" w:rsidR="004F2FAF" w:rsidRPr="002C4050" w:rsidRDefault="004F2FAF" w:rsidP="00A43529">
      <w:pPr>
        <w:pStyle w:val="CommentText"/>
        <w:numPr>
          <w:ilvl w:val="0"/>
          <w:numId w:val="19"/>
        </w:numPr>
        <w:ind w:left="709" w:hanging="284"/>
        <w:rPr>
          <w:sz w:val="22"/>
          <w:szCs w:val="22"/>
          <w:lang w:val="en-GB"/>
        </w:rPr>
      </w:pPr>
      <w:r w:rsidRPr="002C4050">
        <w:rPr>
          <w:sz w:val="22"/>
          <w:szCs w:val="22"/>
          <w:lang w:val="en-GB"/>
        </w:rPr>
        <w:t>The substance of most ECPs was</w:t>
      </w:r>
      <w:r w:rsidR="00F249F3" w:rsidRPr="002C4050">
        <w:rPr>
          <w:sz w:val="22"/>
          <w:szCs w:val="22"/>
          <w:lang w:val="en-GB"/>
        </w:rPr>
        <w:t xml:space="preserve"> accepted by WTSA-20</w:t>
      </w:r>
      <w:r w:rsidRPr="002C4050">
        <w:rPr>
          <w:sz w:val="22"/>
          <w:szCs w:val="22"/>
          <w:lang w:val="en-GB"/>
        </w:rPr>
        <w:t>.</w:t>
      </w:r>
    </w:p>
    <w:p w14:paraId="20CD97E8" w14:textId="410317F1" w:rsidR="004F2FAF" w:rsidRPr="002C4050" w:rsidRDefault="004F2FAF" w:rsidP="00A411E7">
      <w:pPr>
        <w:pStyle w:val="CommentText"/>
        <w:numPr>
          <w:ilvl w:val="0"/>
          <w:numId w:val="19"/>
        </w:numPr>
        <w:ind w:left="709" w:hanging="284"/>
        <w:rPr>
          <w:sz w:val="22"/>
          <w:szCs w:val="22"/>
          <w:lang w:val="en-GB"/>
        </w:rPr>
      </w:pPr>
      <w:r w:rsidRPr="002C4050">
        <w:rPr>
          <w:sz w:val="22"/>
          <w:szCs w:val="22"/>
          <w:lang w:val="en-GB"/>
        </w:rPr>
        <w:t>The European candidates for Chair</w:t>
      </w:r>
      <w:r w:rsidR="00A43529" w:rsidRPr="002C4050">
        <w:rPr>
          <w:sz w:val="22"/>
          <w:szCs w:val="22"/>
          <w:lang w:val="en-GB"/>
        </w:rPr>
        <w:t>s</w:t>
      </w:r>
      <w:r w:rsidRPr="002C4050">
        <w:rPr>
          <w:sz w:val="22"/>
          <w:szCs w:val="22"/>
          <w:lang w:val="en-GB"/>
        </w:rPr>
        <w:t xml:space="preserve"> of ITU-T SGs were appointed as pr</w:t>
      </w:r>
      <w:r w:rsidR="00F249F3" w:rsidRPr="002C4050">
        <w:rPr>
          <w:sz w:val="22"/>
          <w:szCs w:val="22"/>
          <w:lang w:val="en-GB"/>
        </w:rPr>
        <w:t>oposed (SG02 – Phil Rushton, SG05</w:t>
      </w:r>
      <w:r w:rsidRPr="002C4050">
        <w:rPr>
          <w:sz w:val="22"/>
          <w:szCs w:val="22"/>
          <w:lang w:val="en-GB"/>
        </w:rPr>
        <w:t xml:space="preserve"> – </w:t>
      </w:r>
      <w:r w:rsidR="00F249F3" w:rsidRPr="002C4050">
        <w:rPr>
          <w:sz w:val="22"/>
          <w:szCs w:val="22"/>
          <w:lang w:val="en-GB"/>
        </w:rPr>
        <w:t xml:space="preserve">Dominique </w:t>
      </w:r>
      <w:proofErr w:type="spellStart"/>
      <w:r w:rsidR="00F249F3" w:rsidRPr="002C4050">
        <w:rPr>
          <w:sz w:val="22"/>
          <w:szCs w:val="22"/>
          <w:lang w:val="en-GB"/>
        </w:rPr>
        <w:t>Wurges</w:t>
      </w:r>
      <w:proofErr w:type="spellEnd"/>
      <w:r w:rsidR="00F249F3" w:rsidRPr="002C4050">
        <w:rPr>
          <w:sz w:val="22"/>
          <w:szCs w:val="22"/>
          <w:lang w:val="en-GB"/>
        </w:rPr>
        <w:t xml:space="preserve">) </w:t>
      </w:r>
      <w:r w:rsidRPr="002C4050">
        <w:rPr>
          <w:sz w:val="22"/>
          <w:szCs w:val="22"/>
          <w:lang w:val="en-GB"/>
        </w:rPr>
        <w:t>as well a</w:t>
      </w:r>
      <w:r w:rsidR="00A43529" w:rsidRPr="002C4050">
        <w:rPr>
          <w:sz w:val="22"/>
          <w:szCs w:val="22"/>
          <w:lang w:val="en-GB"/>
        </w:rPr>
        <w:t>s proposed European Vice Chair</w:t>
      </w:r>
      <w:r w:rsidRPr="002C4050">
        <w:rPr>
          <w:sz w:val="22"/>
          <w:szCs w:val="22"/>
          <w:lang w:val="en-GB"/>
        </w:rPr>
        <w:t xml:space="preserve"> candidates</w:t>
      </w:r>
      <w:r w:rsidR="0089692F">
        <w:rPr>
          <w:sz w:val="22"/>
          <w:szCs w:val="22"/>
          <w:lang w:val="en-GB"/>
        </w:rPr>
        <w:t>.</w:t>
      </w:r>
    </w:p>
    <w:p w14:paraId="3A5A69C1" w14:textId="77777777" w:rsidR="004F2FAF" w:rsidRPr="0089692F" w:rsidRDefault="004F2FAF" w:rsidP="0089692F">
      <w:pPr>
        <w:pStyle w:val="CommentText"/>
        <w:numPr>
          <w:ilvl w:val="0"/>
          <w:numId w:val="19"/>
        </w:numPr>
        <w:ind w:left="709" w:hanging="284"/>
        <w:rPr>
          <w:sz w:val="22"/>
          <w:szCs w:val="22"/>
          <w:lang w:val="en-GB"/>
        </w:rPr>
      </w:pPr>
      <w:r w:rsidRPr="0089692F">
        <w:rPr>
          <w:sz w:val="22"/>
          <w:szCs w:val="22"/>
          <w:lang w:val="en-GB"/>
        </w:rPr>
        <w:t>Europe achieved a good outcome on the Internet, Cyber and Numbering Resolutions.</w:t>
      </w:r>
    </w:p>
    <w:p w14:paraId="511987A0" w14:textId="69A1906D" w:rsidR="004F2FAF" w:rsidRPr="0089692F" w:rsidRDefault="007B4C17" w:rsidP="0089692F">
      <w:pPr>
        <w:pStyle w:val="CommentText"/>
        <w:numPr>
          <w:ilvl w:val="0"/>
          <w:numId w:val="19"/>
        </w:numPr>
        <w:ind w:left="709" w:hanging="284"/>
        <w:rPr>
          <w:sz w:val="22"/>
          <w:szCs w:val="22"/>
          <w:lang w:val="en-GB"/>
        </w:rPr>
      </w:pPr>
      <w:r w:rsidRPr="0089692F">
        <w:rPr>
          <w:sz w:val="22"/>
          <w:szCs w:val="22"/>
          <w:lang w:val="en-GB"/>
        </w:rPr>
        <w:t>The</w:t>
      </w:r>
      <w:r w:rsidR="004F2FAF" w:rsidRPr="0089692F">
        <w:rPr>
          <w:sz w:val="22"/>
          <w:szCs w:val="22"/>
          <w:lang w:val="en-GB"/>
        </w:rPr>
        <w:t xml:space="preserve"> </w:t>
      </w:r>
      <w:r w:rsidRPr="0089692F">
        <w:rPr>
          <w:sz w:val="22"/>
          <w:szCs w:val="22"/>
          <w:lang w:val="en-GB"/>
        </w:rPr>
        <w:t>engagement</w:t>
      </w:r>
      <w:r w:rsidR="004F2FAF" w:rsidRPr="0089692F">
        <w:rPr>
          <w:sz w:val="22"/>
          <w:szCs w:val="22"/>
          <w:lang w:val="en-GB"/>
        </w:rPr>
        <w:t xml:space="preserve"> of industry in the Sector</w:t>
      </w:r>
      <w:r w:rsidRPr="0089692F">
        <w:rPr>
          <w:sz w:val="22"/>
          <w:szCs w:val="22"/>
          <w:lang w:val="en-GB"/>
        </w:rPr>
        <w:t xml:space="preserve"> was discussed at WTSA-20</w:t>
      </w:r>
      <w:r w:rsidR="004F2FAF" w:rsidRPr="0089692F">
        <w:rPr>
          <w:sz w:val="22"/>
          <w:szCs w:val="22"/>
          <w:lang w:val="en-GB"/>
        </w:rPr>
        <w:t xml:space="preserve"> based</w:t>
      </w:r>
      <w:r w:rsidRPr="0089692F">
        <w:rPr>
          <w:sz w:val="22"/>
          <w:szCs w:val="22"/>
          <w:lang w:val="en-GB"/>
        </w:rPr>
        <w:t xml:space="preserve"> on a contribution from Europe and CITEL.</w:t>
      </w:r>
    </w:p>
    <w:p w14:paraId="5B74ED6D" w14:textId="7C7B7254" w:rsidR="004F2FAF" w:rsidRPr="0089692F" w:rsidRDefault="004F2FAF" w:rsidP="0089692F">
      <w:pPr>
        <w:pStyle w:val="CommentText"/>
        <w:numPr>
          <w:ilvl w:val="0"/>
          <w:numId w:val="19"/>
        </w:numPr>
        <w:ind w:left="709" w:hanging="284"/>
        <w:rPr>
          <w:sz w:val="22"/>
          <w:szCs w:val="22"/>
          <w:lang w:val="en-GB"/>
        </w:rPr>
      </w:pPr>
      <w:r w:rsidRPr="0089692F">
        <w:rPr>
          <w:sz w:val="22"/>
          <w:szCs w:val="22"/>
          <w:lang w:val="en-GB"/>
        </w:rPr>
        <w:t xml:space="preserve">The ITU-T work will continue to be membership driven, </w:t>
      </w:r>
      <w:proofErr w:type="gramStart"/>
      <w:r w:rsidRPr="0089692F">
        <w:rPr>
          <w:sz w:val="22"/>
          <w:szCs w:val="22"/>
          <w:lang w:val="en-GB"/>
        </w:rPr>
        <w:t>i.e.</w:t>
      </w:r>
      <w:proofErr w:type="gramEnd"/>
      <w:r w:rsidRPr="0089692F">
        <w:rPr>
          <w:sz w:val="22"/>
          <w:szCs w:val="22"/>
          <w:lang w:val="en-GB"/>
        </w:rPr>
        <w:t xml:space="preserve"> in a bottom-up fashion with secretarial support from TSB (status quo).</w:t>
      </w:r>
      <w:r w:rsidR="008966FC" w:rsidRPr="0089692F">
        <w:rPr>
          <w:sz w:val="22"/>
          <w:szCs w:val="22"/>
          <w:lang w:val="en-GB"/>
        </w:rPr>
        <w:t xml:space="preserve"> CEPT’s and CITEL’s proposals to enhance industry’s engagement was not approved by the Assembly. TSAG is invited to consider the issue of industry engagement discussed at WTSA-20, including Resolution 68.</w:t>
      </w:r>
    </w:p>
    <w:p w14:paraId="4ED679B4" w14:textId="71821A5A" w:rsidR="008966FC" w:rsidRDefault="008966FC" w:rsidP="0089692F">
      <w:pPr>
        <w:pStyle w:val="CommentText"/>
        <w:numPr>
          <w:ilvl w:val="0"/>
          <w:numId w:val="19"/>
        </w:numPr>
        <w:ind w:left="709" w:hanging="284"/>
        <w:rPr>
          <w:sz w:val="22"/>
          <w:szCs w:val="22"/>
          <w:lang w:val="en-GB"/>
        </w:rPr>
      </w:pPr>
      <w:r w:rsidRPr="0089692F">
        <w:rPr>
          <w:sz w:val="22"/>
          <w:szCs w:val="22"/>
          <w:lang w:val="en-GB"/>
        </w:rPr>
        <w:t xml:space="preserve">WTSA-20 also acknowledged CEPT’s proposal on the importance of Science Monitoring </w:t>
      </w:r>
      <w:proofErr w:type="gramStart"/>
      <w:r w:rsidRPr="0089692F">
        <w:rPr>
          <w:sz w:val="22"/>
          <w:szCs w:val="22"/>
          <w:lang w:val="en-GB"/>
        </w:rPr>
        <w:t>And</w:t>
      </w:r>
      <w:proofErr w:type="gramEnd"/>
      <w:r w:rsidRPr="0089692F">
        <w:rPr>
          <w:sz w:val="22"/>
          <w:szCs w:val="22"/>
          <w:lang w:val="en-GB"/>
        </w:rPr>
        <w:t xml:space="preserve"> Reliable Telecommunications (SMART) cables for climate change and seismic monitoring, with the wide support of the Assembly for the roll-out of activities around this concept within the ITU-T Sector, and the need for standardization of the matter, and sought relevant ITU-T study groups to study and take action, and TSAG to coordinate, as appropriate.</w:t>
      </w:r>
    </w:p>
    <w:p w14:paraId="2739F3FF" w14:textId="4BA6BD31" w:rsidR="005F61DE" w:rsidRDefault="005F61DE" w:rsidP="00DB095B">
      <w:pPr>
        <w:pStyle w:val="CommentText"/>
        <w:numPr>
          <w:ilvl w:val="0"/>
          <w:numId w:val="19"/>
        </w:numPr>
        <w:rPr>
          <w:sz w:val="22"/>
          <w:szCs w:val="22"/>
          <w:lang w:val="en-GB"/>
        </w:rPr>
      </w:pPr>
      <w:r>
        <w:rPr>
          <w:sz w:val="22"/>
          <w:szCs w:val="22"/>
          <w:lang w:val="en-GB"/>
        </w:rPr>
        <w:t xml:space="preserve">CEPT’s proposal for a new resolution on Machine Readable Standards was not approved by the Assembly. </w:t>
      </w:r>
      <w:r w:rsidR="00DB095B" w:rsidRPr="00DB095B">
        <w:rPr>
          <w:sz w:val="22"/>
          <w:szCs w:val="22"/>
          <w:lang w:val="en-GB"/>
        </w:rPr>
        <w:t>The proposal was considered</w:t>
      </w:r>
      <w:r w:rsidR="00DB095B">
        <w:rPr>
          <w:sz w:val="22"/>
          <w:szCs w:val="22"/>
          <w:lang w:val="en-GB"/>
        </w:rPr>
        <w:t xml:space="preserve"> very innovative by the member states of ITU</w:t>
      </w:r>
      <w:r w:rsidR="00DB095B" w:rsidRPr="00DB095B">
        <w:rPr>
          <w:sz w:val="22"/>
          <w:szCs w:val="22"/>
          <w:lang w:val="en-GB"/>
        </w:rPr>
        <w:t xml:space="preserve">. Member States are invited to contribute to the topic </w:t>
      </w:r>
      <w:r w:rsidR="00DB095B">
        <w:rPr>
          <w:sz w:val="22"/>
          <w:szCs w:val="22"/>
          <w:lang w:val="en-GB"/>
        </w:rPr>
        <w:t>in TSAG and other study groups</w:t>
      </w:r>
      <w:r w:rsidR="00DB095B" w:rsidRPr="00DB095B">
        <w:rPr>
          <w:sz w:val="22"/>
          <w:szCs w:val="22"/>
          <w:lang w:val="en-GB"/>
        </w:rPr>
        <w:t>.</w:t>
      </w:r>
    </w:p>
    <w:p w14:paraId="791D0B4E" w14:textId="548C62A9" w:rsidR="0089692F" w:rsidRPr="0089692F" w:rsidRDefault="0089692F" w:rsidP="0089692F">
      <w:pPr>
        <w:pStyle w:val="CommentText"/>
        <w:numPr>
          <w:ilvl w:val="0"/>
          <w:numId w:val="19"/>
        </w:numPr>
        <w:rPr>
          <w:sz w:val="22"/>
          <w:szCs w:val="22"/>
          <w:lang w:val="en-GB"/>
        </w:rPr>
      </w:pPr>
      <w:r w:rsidRPr="0089692F">
        <w:rPr>
          <w:sz w:val="22"/>
          <w:szCs w:val="22"/>
          <w:lang w:val="en-GB"/>
        </w:rPr>
        <w:t xml:space="preserve">Resolution 99, Consideration of organizational reform of the ITU Telecommunication Standardization Sector study, requests TSAG to implement the TSAG action plan for the analysis of ITU-T study group restructuring, and for TSAG, with the necessary assistance given by the TSB Director, to prepare a proposal with recommendations to the next </w:t>
      </w:r>
      <w:r w:rsidRPr="0089692F">
        <w:rPr>
          <w:sz w:val="22"/>
          <w:szCs w:val="22"/>
          <w:lang w:val="en-GB"/>
        </w:rPr>
        <w:lastRenderedPageBreak/>
        <w:t>Assembly in 2024</w:t>
      </w:r>
      <w:r>
        <w:rPr>
          <w:sz w:val="22"/>
          <w:szCs w:val="22"/>
          <w:lang w:val="en-GB"/>
        </w:rPr>
        <w:t xml:space="preserve"> for a possible reform of ITU-T. CEPT is invited to contribute to this process.</w:t>
      </w:r>
    </w:p>
    <w:p w14:paraId="43C4058F" w14:textId="40FBD108" w:rsidR="004F2FAF" w:rsidRPr="0089692F" w:rsidRDefault="004F2FAF" w:rsidP="0089692F">
      <w:pPr>
        <w:pStyle w:val="CommentText"/>
        <w:numPr>
          <w:ilvl w:val="0"/>
          <w:numId w:val="19"/>
        </w:numPr>
        <w:ind w:left="709" w:hanging="284"/>
        <w:rPr>
          <w:sz w:val="22"/>
          <w:szCs w:val="22"/>
          <w:lang w:val="en-GB"/>
        </w:rPr>
      </w:pPr>
      <w:r w:rsidRPr="0089692F">
        <w:rPr>
          <w:sz w:val="22"/>
          <w:szCs w:val="22"/>
          <w:lang w:val="en-GB"/>
        </w:rPr>
        <w:t xml:space="preserve">The overall decisions </w:t>
      </w:r>
      <w:r w:rsidR="007B4C17" w:rsidRPr="0089692F">
        <w:rPr>
          <w:sz w:val="22"/>
          <w:szCs w:val="22"/>
          <w:lang w:val="en-GB"/>
        </w:rPr>
        <w:t>of WTSA-20</w:t>
      </w:r>
      <w:r w:rsidRPr="0089692F">
        <w:rPr>
          <w:sz w:val="22"/>
          <w:szCs w:val="22"/>
          <w:lang w:val="en-GB"/>
        </w:rPr>
        <w:t xml:space="preserve"> are largely positive from Europe’s perspective. However, some of the work of ITU-T is not found in the core interest of the Telecommunications/ICT industry and might be more oriented to the activities to be performed by the ITU-D.  </w:t>
      </w:r>
    </w:p>
    <w:p w14:paraId="5920A8CA" w14:textId="3B413F12" w:rsidR="004F2FAF" w:rsidRPr="0089692F" w:rsidRDefault="004F2FAF" w:rsidP="0089692F">
      <w:pPr>
        <w:pStyle w:val="CommentText"/>
        <w:numPr>
          <w:ilvl w:val="0"/>
          <w:numId w:val="19"/>
        </w:numPr>
        <w:ind w:left="709" w:hanging="284"/>
        <w:rPr>
          <w:sz w:val="22"/>
          <w:szCs w:val="22"/>
          <w:lang w:val="en-GB"/>
        </w:rPr>
      </w:pPr>
      <w:r w:rsidRPr="0089692F">
        <w:rPr>
          <w:sz w:val="22"/>
          <w:szCs w:val="22"/>
          <w:lang w:val="en-GB"/>
        </w:rPr>
        <w:t>Being dedicated to finding consensus and pragmatic solutions to issues, CEPT was generally regarded as a positive contributor to</w:t>
      </w:r>
      <w:r w:rsidR="00A43529" w:rsidRPr="0089692F">
        <w:rPr>
          <w:sz w:val="22"/>
          <w:szCs w:val="22"/>
          <w:lang w:val="en-GB"/>
        </w:rPr>
        <w:t xml:space="preserve"> WTSA-20</w:t>
      </w:r>
      <w:r w:rsidRPr="0089692F">
        <w:rPr>
          <w:sz w:val="22"/>
          <w:szCs w:val="22"/>
          <w:lang w:val="en-GB"/>
        </w:rPr>
        <w:t>.</w:t>
      </w:r>
    </w:p>
    <w:p w14:paraId="42D956E3" w14:textId="05D63897" w:rsidR="008A2B8B" w:rsidRPr="002C4050" w:rsidRDefault="008A2B8B" w:rsidP="00A411E7">
      <w:pPr>
        <w:rPr>
          <w:b/>
          <w:lang w:val="en-GB"/>
        </w:rPr>
      </w:pPr>
      <w:r w:rsidRPr="002C4050">
        <w:rPr>
          <w:b/>
          <w:lang w:val="en-GB"/>
        </w:rPr>
        <w:t xml:space="preserve">Resolutions and Recommendations (Changes, suppressions, new Resolutions) </w:t>
      </w:r>
    </w:p>
    <w:p w14:paraId="3DD454C8" w14:textId="77777777" w:rsidR="00C21BA3" w:rsidRPr="00D565DB" w:rsidRDefault="00A43529" w:rsidP="00C21BA3">
      <w:pPr>
        <w:rPr>
          <w:lang w:val="en-GB"/>
        </w:rPr>
      </w:pPr>
      <w:r w:rsidRPr="002C4050">
        <w:rPr>
          <w:lang w:val="en-GB"/>
        </w:rPr>
        <w:t xml:space="preserve">WTSA-20 revised 36 Resolutions, adopted two new Resolutions, suppressed four Resolutions, and decided to keep 10 Resolutions unchanged (in total, 20 Resolutions remain the unchanged since </w:t>
      </w:r>
      <w:proofErr w:type="spellStart"/>
      <w:r w:rsidRPr="002C4050">
        <w:rPr>
          <w:lang w:val="en-GB"/>
        </w:rPr>
        <w:t>Hammamet</w:t>
      </w:r>
      <w:proofErr w:type="spellEnd"/>
      <w:r w:rsidRPr="002C4050">
        <w:rPr>
          <w:lang w:val="en-GB"/>
        </w:rPr>
        <w:t xml:space="preserve"> 2016). </w:t>
      </w:r>
      <w:r w:rsidR="00C21BA3">
        <w:rPr>
          <w:lang w:val="en-GB"/>
        </w:rPr>
        <w:t>Two</w:t>
      </w:r>
      <w:r w:rsidR="00C21BA3" w:rsidRPr="00D565DB">
        <w:rPr>
          <w:lang w:val="en-GB"/>
        </w:rPr>
        <w:t xml:space="preserve"> </w:t>
      </w:r>
      <w:r w:rsidR="00C21BA3">
        <w:rPr>
          <w:lang w:val="en-GB"/>
        </w:rPr>
        <w:t>n</w:t>
      </w:r>
      <w:r w:rsidR="00C21BA3" w:rsidRPr="00D565DB">
        <w:rPr>
          <w:lang w:val="en-GB"/>
        </w:rPr>
        <w:t>ew Resolutions were approved (</w:t>
      </w:r>
      <w:r w:rsidR="00C21BA3">
        <w:rPr>
          <w:lang w:val="en-GB"/>
        </w:rPr>
        <w:t xml:space="preserve">Resolution 99 - </w:t>
      </w:r>
      <w:r w:rsidR="00C21BA3" w:rsidRPr="00D565DB">
        <w:rPr>
          <w:lang w:val="en-GB"/>
        </w:rPr>
        <w:t>Consideration of organizational reform of the ITU Telecommunication Standardization Sector study</w:t>
      </w:r>
      <w:r w:rsidR="00C21BA3">
        <w:rPr>
          <w:lang w:val="en-GB"/>
        </w:rPr>
        <w:t>,</w:t>
      </w:r>
      <w:r w:rsidR="00C21BA3" w:rsidRPr="00D565DB">
        <w:t xml:space="preserve"> </w:t>
      </w:r>
      <w:r w:rsidR="00C21BA3">
        <w:rPr>
          <w:lang w:val="en-GB"/>
        </w:rPr>
        <w:t>Resolution 100 -</w:t>
      </w:r>
      <w:r w:rsidR="00C21BA3" w:rsidRPr="00D565DB">
        <w:rPr>
          <w:lang w:val="en-GB"/>
        </w:rPr>
        <w:t xml:space="preserve"> A common emergency number for Africa</w:t>
      </w:r>
      <w:r w:rsidR="00C21BA3">
        <w:rPr>
          <w:lang w:val="en-GB"/>
        </w:rPr>
        <w:t>)</w:t>
      </w:r>
      <w:r w:rsidR="00C21BA3" w:rsidRPr="00D565DB">
        <w:rPr>
          <w:lang w:val="en-GB"/>
        </w:rPr>
        <w:t>.</w:t>
      </w:r>
    </w:p>
    <w:p w14:paraId="249E2218" w14:textId="77777777" w:rsidR="00A658F1" w:rsidRDefault="00A43529" w:rsidP="00C21BA3">
      <w:pPr>
        <w:rPr>
          <w:lang w:val="en-GB"/>
        </w:rPr>
      </w:pPr>
      <w:r w:rsidRPr="002C4050">
        <w:rPr>
          <w:lang w:val="en-GB"/>
        </w:rPr>
        <w:t xml:space="preserve">WTSA-20 also revised three ITU-T A-Series Recommendations that guide ITU-T’s work; three other ITU-T A-Series Recommendations were left unchanged. </w:t>
      </w:r>
    </w:p>
    <w:p w14:paraId="26E71D21" w14:textId="7264EB27" w:rsidR="008A2B8B" w:rsidRPr="002C4050" w:rsidRDefault="008A2B8B" w:rsidP="00C21BA3">
      <w:pPr>
        <w:rPr>
          <w:lang w:val="en-GB"/>
        </w:rPr>
      </w:pPr>
      <w:r w:rsidRPr="002C4050">
        <w:rPr>
          <w:lang w:val="en-GB"/>
        </w:rPr>
        <w:t xml:space="preserve">Annex 1 </w:t>
      </w:r>
      <w:r w:rsidR="008C7DB5">
        <w:rPr>
          <w:lang w:val="en-GB"/>
        </w:rPr>
        <w:t>give</w:t>
      </w:r>
      <w:r w:rsidR="00C21BA3">
        <w:rPr>
          <w:lang w:val="en-GB"/>
        </w:rPr>
        <w:t>s</w:t>
      </w:r>
      <w:r w:rsidR="008C7DB5">
        <w:rPr>
          <w:lang w:val="en-GB"/>
        </w:rPr>
        <w:t xml:space="preserve"> an o</w:t>
      </w:r>
      <w:r w:rsidR="008C7DB5" w:rsidRPr="008C7DB5">
        <w:rPr>
          <w:lang w:val="en-GB"/>
        </w:rPr>
        <w:t>verview of Resoluti</w:t>
      </w:r>
      <w:r w:rsidR="008C7DB5">
        <w:rPr>
          <w:lang w:val="en-GB"/>
        </w:rPr>
        <w:t>ons and Recommendations revised</w:t>
      </w:r>
      <w:r w:rsidR="00C21BA3">
        <w:rPr>
          <w:lang w:val="en-GB"/>
        </w:rPr>
        <w:t xml:space="preserve">, </w:t>
      </w:r>
      <w:proofErr w:type="gramStart"/>
      <w:r w:rsidR="008C7DB5">
        <w:rPr>
          <w:lang w:val="en-GB"/>
        </w:rPr>
        <w:t>suppressed</w:t>
      </w:r>
      <w:proofErr w:type="gramEnd"/>
      <w:r w:rsidR="008C7DB5">
        <w:rPr>
          <w:lang w:val="en-GB"/>
        </w:rPr>
        <w:t xml:space="preserve"> </w:t>
      </w:r>
      <w:r w:rsidR="00C21BA3">
        <w:rPr>
          <w:lang w:val="en-GB"/>
        </w:rPr>
        <w:t xml:space="preserve">or added </w:t>
      </w:r>
      <w:r w:rsidR="008C7DB5" w:rsidRPr="008C7DB5">
        <w:rPr>
          <w:lang w:val="en-GB"/>
        </w:rPr>
        <w:t>at WTSA-20</w:t>
      </w:r>
      <w:r w:rsidR="008C7DB5">
        <w:rPr>
          <w:lang w:val="en-GB"/>
        </w:rPr>
        <w:t>.</w:t>
      </w:r>
    </w:p>
    <w:p w14:paraId="2F02212B" w14:textId="2C1C9B0A" w:rsidR="008A2B8B" w:rsidRPr="002C4050" w:rsidRDefault="008A2B8B" w:rsidP="00A411E7">
      <w:pPr>
        <w:rPr>
          <w:b/>
          <w:lang w:val="en-GB"/>
        </w:rPr>
      </w:pPr>
      <w:r w:rsidRPr="002C4050">
        <w:rPr>
          <w:b/>
          <w:lang w:val="en-GB"/>
        </w:rPr>
        <w:t xml:space="preserve">Results of the European Common Proposals (ECPS) </w:t>
      </w:r>
    </w:p>
    <w:p w14:paraId="7FBF3C18" w14:textId="04BCEFB0" w:rsidR="008A2B8B" w:rsidRPr="002C4050" w:rsidRDefault="008A2B8B" w:rsidP="00A411E7">
      <w:pPr>
        <w:rPr>
          <w:lang w:val="en-GB"/>
        </w:rPr>
      </w:pPr>
      <w:r w:rsidRPr="00C21BA3">
        <w:rPr>
          <w:lang w:val="en-GB"/>
        </w:rPr>
        <w:t>Almost all ECPs were accepted by WTSA-</w:t>
      </w:r>
      <w:r w:rsidR="00A43529" w:rsidRPr="00C21BA3">
        <w:rPr>
          <w:lang w:val="en-GB"/>
        </w:rPr>
        <w:t>20</w:t>
      </w:r>
      <w:r w:rsidR="00C21BA3">
        <w:rPr>
          <w:lang w:val="en-GB"/>
        </w:rPr>
        <w:t xml:space="preserve"> in substance, see </w:t>
      </w:r>
      <w:r w:rsidRPr="00C21BA3">
        <w:rPr>
          <w:lang w:val="en-GB"/>
        </w:rPr>
        <w:t>Annex 2</w:t>
      </w:r>
      <w:r w:rsidR="00C21BA3">
        <w:rPr>
          <w:lang w:val="en-GB"/>
        </w:rPr>
        <w:t xml:space="preserve"> for details.</w:t>
      </w:r>
    </w:p>
    <w:p w14:paraId="262B4FA4" w14:textId="1B2761C3" w:rsidR="00FF58B4" w:rsidRPr="002C4050" w:rsidRDefault="00FA465B" w:rsidP="00A411E7">
      <w:pPr>
        <w:rPr>
          <w:b/>
          <w:lang w:val="en-GB"/>
        </w:rPr>
      </w:pPr>
      <w:r w:rsidRPr="002C4050">
        <w:rPr>
          <w:b/>
          <w:lang w:val="en-GB"/>
        </w:rPr>
        <w:t xml:space="preserve">CEPT Co-ordination </w:t>
      </w:r>
      <w:r w:rsidR="00064C3E" w:rsidRPr="002C4050">
        <w:rPr>
          <w:b/>
          <w:lang w:val="en-GB"/>
        </w:rPr>
        <w:t xml:space="preserve">in preparation of and </w:t>
      </w:r>
      <w:r w:rsidR="00A43529" w:rsidRPr="002C4050">
        <w:rPr>
          <w:b/>
          <w:lang w:val="en-GB"/>
        </w:rPr>
        <w:t>during WTSA-20</w:t>
      </w:r>
    </w:p>
    <w:p w14:paraId="64018B0A" w14:textId="7049ED00" w:rsidR="00FF58B4" w:rsidRPr="002C4050" w:rsidRDefault="00FA465B" w:rsidP="00A411E7">
      <w:pPr>
        <w:rPr>
          <w:lang w:val="en-GB"/>
        </w:rPr>
      </w:pPr>
      <w:r w:rsidRPr="002C4050">
        <w:rPr>
          <w:lang w:val="en-GB"/>
        </w:rPr>
        <w:t xml:space="preserve">The CEPT preparation for and </w:t>
      </w:r>
      <w:r w:rsidR="00441168" w:rsidRPr="002C4050">
        <w:rPr>
          <w:lang w:val="en-GB"/>
        </w:rPr>
        <w:t>coordination during</w:t>
      </w:r>
      <w:r w:rsidR="00A43529" w:rsidRPr="002C4050">
        <w:rPr>
          <w:lang w:val="en-GB"/>
        </w:rPr>
        <w:t xml:space="preserve"> WTSA-20</w:t>
      </w:r>
      <w:r w:rsidRPr="002C4050">
        <w:rPr>
          <w:lang w:val="en-GB"/>
        </w:rPr>
        <w:t xml:space="preserve"> worked well</w:t>
      </w:r>
      <w:r w:rsidR="00194901" w:rsidRPr="002C4050">
        <w:rPr>
          <w:lang w:val="en-GB"/>
        </w:rPr>
        <w:t>,</w:t>
      </w:r>
      <w:r w:rsidR="00064C3E" w:rsidRPr="002C4050">
        <w:rPr>
          <w:lang w:val="en-GB"/>
        </w:rPr>
        <w:t xml:space="preserve"> due to the engagement</w:t>
      </w:r>
      <w:r w:rsidR="00194901" w:rsidRPr="002C4050">
        <w:rPr>
          <w:lang w:val="en-GB"/>
        </w:rPr>
        <w:t xml:space="preserve"> and commitment</w:t>
      </w:r>
      <w:r w:rsidR="00064C3E" w:rsidRPr="002C4050">
        <w:rPr>
          <w:lang w:val="en-GB"/>
        </w:rPr>
        <w:t xml:space="preserve"> of delegates from </w:t>
      </w:r>
      <w:r w:rsidR="00194901" w:rsidRPr="002C4050">
        <w:rPr>
          <w:lang w:val="en-GB"/>
        </w:rPr>
        <w:t xml:space="preserve">administrations </w:t>
      </w:r>
      <w:r w:rsidR="00064C3E" w:rsidRPr="002C4050">
        <w:rPr>
          <w:lang w:val="en-GB"/>
        </w:rPr>
        <w:t xml:space="preserve">and industry. It is important to distribute </w:t>
      </w:r>
      <w:r w:rsidR="00194901" w:rsidRPr="002C4050">
        <w:rPr>
          <w:lang w:val="en-GB"/>
        </w:rPr>
        <w:t xml:space="preserve">tasks </w:t>
      </w:r>
      <w:r w:rsidR="00064C3E" w:rsidRPr="002C4050">
        <w:rPr>
          <w:lang w:val="en-GB"/>
        </w:rPr>
        <w:t xml:space="preserve">to delegations and individual delegates </w:t>
      </w:r>
      <w:proofErr w:type="gramStart"/>
      <w:r w:rsidR="00064C3E" w:rsidRPr="002C4050">
        <w:rPr>
          <w:lang w:val="en-GB"/>
        </w:rPr>
        <w:t>in order to</w:t>
      </w:r>
      <w:proofErr w:type="gramEnd"/>
      <w:r w:rsidR="00064C3E" w:rsidRPr="002C4050">
        <w:rPr>
          <w:lang w:val="en-GB"/>
        </w:rPr>
        <w:t xml:space="preserve"> feel </w:t>
      </w:r>
      <w:r w:rsidR="00441168" w:rsidRPr="002C4050">
        <w:rPr>
          <w:lang w:val="en-GB"/>
        </w:rPr>
        <w:t xml:space="preserve">actual </w:t>
      </w:r>
      <w:r w:rsidR="00064C3E" w:rsidRPr="002C4050">
        <w:rPr>
          <w:lang w:val="en-GB"/>
        </w:rPr>
        <w:t>responsibility</w:t>
      </w:r>
      <w:r w:rsidR="00441168" w:rsidRPr="002C4050">
        <w:rPr>
          <w:lang w:val="en-GB"/>
        </w:rPr>
        <w:t xml:space="preserve"> for the European proposals and goals and to be active in official and informal meetings and negotiations.</w:t>
      </w:r>
    </w:p>
    <w:p w14:paraId="2A3FE2E3" w14:textId="66D0FF7B" w:rsidR="00194901" w:rsidRPr="002C4050" w:rsidRDefault="00194901" w:rsidP="00A411E7">
      <w:pPr>
        <w:rPr>
          <w:lang w:val="en-GB"/>
        </w:rPr>
      </w:pPr>
      <w:r w:rsidRPr="002C4050">
        <w:rPr>
          <w:lang w:val="en-GB"/>
        </w:rPr>
        <w:t>CEPT Co-ordination meetings were held every day and well attended. A</w:t>
      </w:r>
      <w:r w:rsidR="00441168" w:rsidRPr="002C4050">
        <w:rPr>
          <w:lang w:val="en-GB"/>
        </w:rPr>
        <w:t xml:space="preserve">lthough </w:t>
      </w:r>
      <w:r w:rsidRPr="002C4050">
        <w:rPr>
          <w:lang w:val="en-GB"/>
        </w:rPr>
        <w:t xml:space="preserve">burdensome for delegates, these </w:t>
      </w:r>
      <w:r w:rsidR="00441168" w:rsidRPr="002C4050">
        <w:rPr>
          <w:lang w:val="en-GB"/>
        </w:rPr>
        <w:t>daily (</w:t>
      </w:r>
      <w:proofErr w:type="gramStart"/>
      <w:r w:rsidR="00441168" w:rsidRPr="002C4050">
        <w:rPr>
          <w:lang w:val="en-GB"/>
        </w:rPr>
        <w:t>lunch-time</w:t>
      </w:r>
      <w:proofErr w:type="gramEnd"/>
      <w:r w:rsidR="00441168" w:rsidRPr="002C4050">
        <w:rPr>
          <w:lang w:val="en-GB"/>
        </w:rPr>
        <w:t xml:space="preserve">) </w:t>
      </w:r>
      <w:r w:rsidRPr="002C4050">
        <w:rPr>
          <w:lang w:val="en-GB"/>
        </w:rPr>
        <w:t xml:space="preserve">meetings allowed </w:t>
      </w:r>
      <w:r w:rsidR="008B31DA" w:rsidRPr="002C4050">
        <w:rPr>
          <w:lang w:val="en-GB"/>
        </w:rPr>
        <w:t xml:space="preserve">Europe </w:t>
      </w:r>
      <w:r w:rsidRPr="002C4050">
        <w:rPr>
          <w:lang w:val="en-GB"/>
        </w:rPr>
        <w:t>to shape a common appr</w:t>
      </w:r>
      <w:r w:rsidR="00441168" w:rsidRPr="002C4050">
        <w:rPr>
          <w:lang w:val="en-GB"/>
        </w:rPr>
        <w:t>oach on surprising or unfo</w:t>
      </w:r>
      <w:r w:rsidR="00A43529" w:rsidRPr="002C4050">
        <w:rPr>
          <w:lang w:val="en-GB"/>
        </w:rPr>
        <w:t xml:space="preserve">reseen issues and developments. </w:t>
      </w:r>
      <w:r w:rsidR="00441168" w:rsidRPr="002C4050">
        <w:rPr>
          <w:lang w:val="en-GB"/>
        </w:rPr>
        <w:t xml:space="preserve">Co-ordination during </w:t>
      </w:r>
      <w:r w:rsidR="001B6859" w:rsidRPr="002C4050">
        <w:rPr>
          <w:lang w:val="en-GB"/>
        </w:rPr>
        <w:t xml:space="preserve">formal </w:t>
      </w:r>
      <w:r w:rsidR="00441168" w:rsidRPr="002C4050">
        <w:rPr>
          <w:lang w:val="en-GB"/>
        </w:rPr>
        <w:t>meeting</w:t>
      </w:r>
      <w:r w:rsidR="001B6859" w:rsidRPr="002C4050">
        <w:rPr>
          <w:lang w:val="en-GB"/>
        </w:rPr>
        <w:t>s</w:t>
      </w:r>
      <w:r w:rsidR="00441168" w:rsidRPr="002C4050">
        <w:rPr>
          <w:lang w:val="en-GB"/>
        </w:rPr>
        <w:t xml:space="preserve"> </w:t>
      </w:r>
      <w:r w:rsidR="00A43529" w:rsidRPr="002C4050">
        <w:rPr>
          <w:lang w:val="en-GB"/>
        </w:rPr>
        <w:t>via mobile messaging apps was helpful</w:t>
      </w:r>
      <w:r w:rsidR="0079653D" w:rsidRPr="002C4050">
        <w:rPr>
          <w:lang w:val="en-GB"/>
        </w:rPr>
        <w:t>.</w:t>
      </w:r>
    </w:p>
    <w:p w14:paraId="6CB58A25" w14:textId="77777777" w:rsidR="00441168" w:rsidRPr="002C4050" w:rsidRDefault="00441168" w:rsidP="00A411E7">
      <w:pPr>
        <w:rPr>
          <w:lang w:val="en-GB"/>
        </w:rPr>
      </w:pPr>
      <w:r w:rsidRPr="002C4050">
        <w:rPr>
          <w:lang w:val="en-GB"/>
        </w:rPr>
        <w:t xml:space="preserve">The CEPT Brief fulfilled its purpose and gave valuable guidelines and background information on the various topics. </w:t>
      </w:r>
    </w:p>
    <w:p w14:paraId="0B81A8C7" w14:textId="5F78468C" w:rsidR="00441168" w:rsidRPr="002C4050" w:rsidRDefault="00441168" w:rsidP="00A411E7">
      <w:pPr>
        <w:rPr>
          <w:lang w:val="en-GB"/>
        </w:rPr>
      </w:pPr>
      <w:r w:rsidRPr="002C4050">
        <w:rPr>
          <w:lang w:val="en-GB"/>
        </w:rPr>
        <w:t xml:space="preserve">The support of ECO was very much appreciated and </w:t>
      </w:r>
      <w:proofErr w:type="gramStart"/>
      <w:r w:rsidRPr="002C4050">
        <w:rPr>
          <w:lang w:val="en-GB"/>
        </w:rPr>
        <w:t>in particular during</w:t>
      </w:r>
      <w:proofErr w:type="gramEnd"/>
      <w:r w:rsidRPr="002C4050">
        <w:rPr>
          <w:lang w:val="en-GB"/>
        </w:rPr>
        <w:t xml:space="preserve"> the hot phase immediately </w:t>
      </w:r>
      <w:r w:rsidR="001B6859" w:rsidRPr="002C4050">
        <w:rPr>
          <w:lang w:val="en-GB"/>
        </w:rPr>
        <w:t xml:space="preserve">before </w:t>
      </w:r>
      <w:r w:rsidRPr="002C4050">
        <w:rPr>
          <w:lang w:val="en-GB"/>
        </w:rPr>
        <w:t>the WTSA-</w:t>
      </w:r>
      <w:r w:rsidR="00A43529" w:rsidRPr="002C4050">
        <w:rPr>
          <w:lang w:val="en-GB"/>
        </w:rPr>
        <w:t>20</w:t>
      </w:r>
      <w:r w:rsidRPr="002C4050">
        <w:rPr>
          <w:lang w:val="en-GB"/>
        </w:rPr>
        <w:t>.</w:t>
      </w:r>
    </w:p>
    <w:p w14:paraId="63189145" w14:textId="77777777" w:rsidR="00F01BB2" w:rsidRPr="002C4050" w:rsidRDefault="00F01BB2" w:rsidP="00A411E7">
      <w:pPr>
        <w:jc w:val="left"/>
        <w:rPr>
          <w:lang w:val="en-GB"/>
        </w:rPr>
      </w:pPr>
      <w:r w:rsidRPr="002C4050">
        <w:rPr>
          <w:lang w:val="en-GB"/>
        </w:rPr>
        <w:br w:type="page"/>
      </w:r>
    </w:p>
    <w:p w14:paraId="4089FE6D" w14:textId="2A07E442" w:rsidR="00F01BB2" w:rsidRPr="002C4050" w:rsidRDefault="00F01BB2" w:rsidP="00A658F1">
      <w:pPr>
        <w:pStyle w:val="Title"/>
        <w:jc w:val="left"/>
        <w:rPr>
          <w:lang w:val="en-GB"/>
        </w:rPr>
      </w:pPr>
      <w:r w:rsidRPr="002C4050">
        <w:rPr>
          <w:lang w:val="en-GB"/>
        </w:rPr>
        <w:lastRenderedPageBreak/>
        <w:t xml:space="preserve">Annex 1 </w:t>
      </w:r>
      <w:r w:rsidR="00A43529" w:rsidRPr="002C4050">
        <w:rPr>
          <w:lang w:val="en-GB"/>
        </w:rPr>
        <w:t xml:space="preserve">– </w:t>
      </w:r>
      <w:r w:rsidRPr="002C4050">
        <w:rPr>
          <w:lang w:val="en-GB"/>
        </w:rPr>
        <w:t>Overview of Resolutions and Recommendations changed</w:t>
      </w:r>
      <w:r w:rsidR="00A43529" w:rsidRPr="002C4050">
        <w:rPr>
          <w:lang w:val="en-GB"/>
        </w:rPr>
        <w:t xml:space="preserve">, </w:t>
      </w:r>
      <w:proofErr w:type="gramStart"/>
      <w:r w:rsidR="00A43529" w:rsidRPr="002C4050">
        <w:rPr>
          <w:lang w:val="en-GB"/>
        </w:rPr>
        <w:t>suppressed</w:t>
      </w:r>
      <w:proofErr w:type="gramEnd"/>
      <w:r w:rsidR="00A43529" w:rsidRPr="002C4050">
        <w:rPr>
          <w:lang w:val="en-GB"/>
        </w:rPr>
        <w:t xml:space="preserve"> and added at WTSA-20</w:t>
      </w:r>
    </w:p>
    <w:p w14:paraId="1BDC1D7E" w14:textId="0687D6AB" w:rsidR="007D5229" w:rsidRPr="00C21BA3" w:rsidRDefault="007D5229" w:rsidP="00A038FF">
      <w:pPr>
        <w:pStyle w:val="Heading2"/>
      </w:pPr>
      <w:r w:rsidRPr="00C21BA3">
        <w:t>Revised Resolutions</w:t>
      </w:r>
    </w:p>
    <w:p w14:paraId="297EF3B5" w14:textId="5445B531" w:rsidR="007D5229" w:rsidRPr="002C4050" w:rsidRDefault="007D5229" w:rsidP="007D5229">
      <w:pPr>
        <w:jc w:val="left"/>
        <w:rPr>
          <w:rFonts w:cs="Arial"/>
          <w:lang w:val="en-GB"/>
        </w:rPr>
      </w:pPr>
      <w:r w:rsidRPr="002C4050">
        <w:rPr>
          <w:rFonts w:cs="Arial"/>
          <w:b/>
          <w:lang w:val="en-GB"/>
        </w:rPr>
        <w:t xml:space="preserve">Resolution 1 </w:t>
      </w:r>
      <w:r w:rsidRPr="002C4050">
        <w:rPr>
          <w:rFonts w:cs="Arial"/>
          <w:lang w:val="en-GB"/>
        </w:rPr>
        <w:t>Rules of procedure of the ITU Telecommunication Standardization Sector</w:t>
      </w:r>
    </w:p>
    <w:p w14:paraId="114501C7" w14:textId="392A2361" w:rsidR="002C4050" w:rsidRPr="002C4050" w:rsidRDefault="002C4050" w:rsidP="002C4050">
      <w:pPr>
        <w:rPr>
          <w:rFonts w:ascii="Verdana" w:hAnsi="Verdana"/>
          <w:sz w:val="24"/>
          <w:lang w:val="en-GB"/>
        </w:rPr>
      </w:pPr>
      <w:r w:rsidRPr="002C4050">
        <w:rPr>
          <w:rFonts w:cs="Arial"/>
          <w:lang w:val="en-GB"/>
        </w:rPr>
        <w:t xml:space="preserve">This resolution was revised with </w:t>
      </w:r>
      <w:proofErr w:type="gramStart"/>
      <w:r w:rsidRPr="002C4050">
        <w:rPr>
          <w:rFonts w:cs="Arial"/>
          <w:lang w:val="en-GB"/>
        </w:rPr>
        <w:t>a number of</w:t>
      </w:r>
      <w:proofErr w:type="gramEnd"/>
      <w:r w:rsidRPr="002C4050">
        <w:rPr>
          <w:rFonts w:cs="Arial"/>
          <w:lang w:val="en-GB"/>
        </w:rPr>
        <w:t xml:space="preserve"> issues raised in the ECP reflected in the final text.</w:t>
      </w:r>
    </w:p>
    <w:p w14:paraId="06583F2C" w14:textId="5D79FB1D" w:rsidR="007D5229" w:rsidRPr="002C4050" w:rsidRDefault="007D5229" w:rsidP="007D5229">
      <w:pPr>
        <w:jc w:val="left"/>
        <w:rPr>
          <w:rFonts w:cs="Arial"/>
          <w:lang w:val="en-GB"/>
        </w:rPr>
      </w:pPr>
      <w:r w:rsidRPr="002C4050">
        <w:rPr>
          <w:rFonts w:cs="Arial"/>
          <w:b/>
          <w:lang w:val="en-GB"/>
        </w:rPr>
        <w:t xml:space="preserve">Resolution 2 </w:t>
      </w:r>
      <w:r w:rsidRPr="002C4050">
        <w:rPr>
          <w:rFonts w:cs="Arial"/>
          <w:lang w:val="en-GB"/>
        </w:rPr>
        <w:t>ITU Telecommunication Standardization Sector study group responsibility and mandates</w:t>
      </w:r>
    </w:p>
    <w:p w14:paraId="027C3B5A" w14:textId="1F8EF96E" w:rsidR="007D5229" w:rsidRPr="002C4050" w:rsidRDefault="007D5229" w:rsidP="007D5229">
      <w:pPr>
        <w:jc w:val="left"/>
        <w:rPr>
          <w:rFonts w:cs="Arial"/>
          <w:b/>
          <w:lang w:val="en-GB"/>
        </w:rPr>
      </w:pPr>
      <w:r w:rsidRPr="002C4050">
        <w:rPr>
          <w:rFonts w:cs="Arial"/>
          <w:b/>
          <w:lang w:val="en-GB"/>
        </w:rPr>
        <w:t xml:space="preserve">Resolution 7 </w:t>
      </w:r>
      <w:r w:rsidRPr="002C4050">
        <w:rPr>
          <w:rFonts w:cs="Arial"/>
          <w:lang w:val="en-GB"/>
        </w:rPr>
        <w:t>Collaboration with the International Organization for Standardization and the International Electrotechnical Commission</w:t>
      </w:r>
    </w:p>
    <w:p w14:paraId="72FDA04B" w14:textId="2C114888" w:rsidR="007D5229" w:rsidRPr="002C4050" w:rsidRDefault="007D5229" w:rsidP="007D5229">
      <w:pPr>
        <w:jc w:val="left"/>
        <w:rPr>
          <w:rFonts w:cs="Arial"/>
          <w:b/>
          <w:lang w:val="en-GB"/>
        </w:rPr>
      </w:pPr>
      <w:r w:rsidRPr="002C4050">
        <w:rPr>
          <w:rFonts w:cs="Arial"/>
          <w:b/>
          <w:lang w:val="en-GB"/>
        </w:rPr>
        <w:t xml:space="preserve">Resolution 18 </w:t>
      </w:r>
      <w:r w:rsidRPr="002C4050">
        <w:rPr>
          <w:rFonts w:cs="Arial"/>
          <w:lang w:val="en-GB"/>
        </w:rPr>
        <w:t>Principles and procedures for the allocation of work to, and strengthening coordination and cooperation among, the ITU Radiocommunication, ITU Telecommunication Standardization and ITU Telecommunication Development Sectors</w:t>
      </w:r>
    </w:p>
    <w:p w14:paraId="06FB4AB9" w14:textId="37EC5EA7" w:rsidR="007D5229" w:rsidRPr="002C4050" w:rsidRDefault="007D5229" w:rsidP="007D5229">
      <w:pPr>
        <w:jc w:val="left"/>
        <w:rPr>
          <w:rFonts w:cs="Arial"/>
          <w:lang w:val="en-GB"/>
        </w:rPr>
      </w:pPr>
      <w:r w:rsidRPr="002C4050">
        <w:rPr>
          <w:rFonts w:cs="Arial"/>
          <w:b/>
          <w:lang w:val="en-GB"/>
        </w:rPr>
        <w:t xml:space="preserve">Resolution 20 </w:t>
      </w:r>
      <w:r w:rsidRPr="002C4050">
        <w:rPr>
          <w:rFonts w:cs="Arial"/>
          <w:lang w:val="en-GB"/>
        </w:rPr>
        <w:t>Procedures for allocation and management of international telecommunication numbering, naming, addressing and identification resources</w:t>
      </w:r>
    </w:p>
    <w:p w14:paraId="716E4DC8" w14:textId="41D7519B" w:rsidR="007D5229" w:rsidRPr="002C4050" w:rsidRDefault="007D5229" w:rsidP="007D5229">
      <w:pPr>
        <w:jc w:val="left"/>
        <w:rPr>
          <w:rFonts w:cs="Arial"/>
          <w:b/>
          <w:lang w:val="en-GB"/>
        </w:rPr>
      </w:pPr>
      <w:r w:rsidRPr="002C4050">
        <w:rPr>
          <w:rFonts w:cs="Arial"/>
          <w:b/>
          <w:lang w:val="en-GB"/>
        </w:rPr>
        <w:t xml:space="preserve">Resolution 22 </w:t>
      </w:r>
      <w:r w:rsidRPr="002C4050">
        <w:rPr>
          <w:rFonts w:cs="Arial"/>
          <w:lang w:val="en-GB"/>
        </w:rPr>
        <w:t>Authorization for the Telecommunication Standardization Advisory Group to act between world telecommunication standardization assemblies</w:t>
      </w:r>
    </w:p>
    <w:p w14:paraId="2FAAE2CD" w14:textId="097B47AA" w:rsidR="007D5229" w:rsidRPr="002C4050" w:rsidRDefault="007D5229" w:rsidP="007D5229">
      <w:pPr>
        <w:jc w:val="left"/>
        <w:rPr>
          <w:rFonts w:cs="Arial"/>
          <w:lang w:val="en-GB"/>
        </w:rPr>
      </w:pPr>
      <w:r w:rsidRPr="002C4050">
        <w:rPr>
          <w:rFonts w:cs="Arial"/>
          <w:b/>
          <w:lang w:val="en-GB"/>
        </w:rPr>
        <w:t xml:space="preserve">Resolution 29 </w:t>
      </w:r>
      <w:r w:rsidRPr="002C4050">
        <w:rPr>
          <w:rFonts w:cs="Arial"/>
          <w:lang w:val="en-GB"/>
        </w:rPr>
        <w:t>Alternative calling procedures on international telecommunication networks</w:t>
      </w:r>
    </w:p>
    <w:p w14:paraId="49CB90BD" w14:textId="5A0E7A77" w:rsidR="007D5229" w:rsidRPr="002C4050" w:rsidRDefault="007D5229" w:rsidP="007D5229">
      <w:pPr>
        <w:jc w:val="left"/>
        <w:rPr>
          <w:rFonts w:cs="Arial"/>
          <w:lang w:val="en-GB"/>
        </w:rPr>
      </w:pPr>
      <w:r w:rsidRPr="002C4050">
        <w:rPr>
          <w:rFonts w:cs="Arial"/>
          <w:b/>
          <w:lang w:val="en-GB"/>
        </w:rPr>
        <w:t xml:space="preserve">Resolution 34 </w:t>
      </w:r>
      <w:r w:rsidRPr="002C4050">
        <w:rPr>
          <w:rFonts w:cs="Arial"/>
          <w:lang w:val="en-GB"/>
        </w:rPr>
        <w:t>Voluntary contributions</w:t>
      </w:r>
    </w:p>
    <w:p w14:paraId="217C7A54" w14:textId="29ABDB81" w:rsidR="007D5229" w:rsidRPr="002C4050" w:rsidRDefault="007D5229" w:rsidP="007D5229">
      <w:pPr>
        <w:jc w:val="left"/>
        <w:rPr>
          <w:rFonts w:cs="Arial"/>
          <w:lang w:val="en-GB"/>
        </w:rPr>
      </w:pPr>
      <w:r w:rsidRPr="002C4050">
        <w:rPr>
          <w:rFonts w:cs="Arial"/>
          <w:b/>
          <w:lang w:val="en-GB"/>
        </w:rPr>
        <w:t xml:space="preserve">Resolution 40 </w:t>
      </w:r>
      <w:r w:rsidRPr="002C4050">
        <w:rPr>
          <w:rFonts w:cs="Arial"/>
          <w:lang w:val="en-GB"/>
        </w:rPr>
        <w:t>Regulatory and policy aspects of the work of the ITU Telecommunication Standardization Sector</w:t>
      </w:r>
    </w:p>
    <w:p w14:paraId="3F6DAFEC" w14:textId="310A5CEC" w:rsidR="007D5229" w:rsidRPr="002C4050" w:rsidRDefault="007D5229" w:rsidP="007D5229">
      <w:pPr>
        <w:jc w:val="left"/>
        <w:rPr>
          <w:rFonts w:cs="Arial"/>
          <w:lang w:val="en-GB"/>
        </w:rPr>
      </w:pPr>
      <w:r w:rsidRPr="002C4050">
        <w:rPr>
          <w:rFonts w:cs="Arial"/>
          <w:b/>
          <w:lang w:val="en-GB"/>
        </w:rPr>
        <w:t xml:space="preserve">Resolution 43 </w:t>
      </w:r>
      <w:r w:rsidRPr="002C4050">
        <w:rPr>
          <w:rFonts w:cs="Arial"/>
          <w:lang w:val="en-GB"/>
        </w:rPr>
        <w:t>Regional preparations for world telecommunication standardization assemblies</w:t>
      </w:r>
    </w:p>
    <w:p w14:paraId="6E02CE8B" w14:textId="5CFACFBC" w:rsidR="007D5229" w:rsidRPr="002C4050" w:rsidRDefault="007D5229" w:rsidP="007D5229">
      <w:pPr>
        <w:jc w:val="left"/>
        <w:rPr>
          <w:rFonts w:cs="Arial"/>
          <w:lang w:val="en-GB"/>
        </w:rPr>
      </w:pPr>
      <w:r w:rsidRPr="002C4050">
        <w:rPr>
          <w:rFonts w:cs="Arial"/>
          <w:b/>
          <w:lang w:val="en-GB"/>
        </w:rPr>
        <w:t xml:space="preserve">Resolution 44 </w:t>
      </w:r>
      <w:r w:rsidRPr="002C4050">
        <w:rPr>
          <w:rFonts w:cs="Arial"/>
          <w:lang w:val="en-GB"/>
        </w:rPr>
        <w:t>Bridging the standardization gap between developing and developed countries</w:t>
      </w:r>
    </w:p>
    <w:p w14:paraId="7CBA9437" w14:textId="0520F4BD" w:rsidR="007D5229" w:rsidRPr="002C4050" w:rsidRDefault="007D5229" w:rsidP="007D5229">
      <w:pPr>
        <w:jc w:val="left"/>
        <w:rPr>
          <w:rFonts w:cs="Arial"/>
          <w:lang w:val="en-GB"/>
        </w:rPr>
      </w:pPr>
      <w:r w:rsidRPr="002C4050">
        <w:rPr>
          <w:rFonts w:cs="Arial"/>
          <w:b/>
          <w:lang w:val="en-GB"/>
        </w:rPr>
        <w:t xml:space="preserve">Resolution 48 </w:t>
      </w:r>
      <w:r w:rsidRPr="002C4050">
        <w:rPr>
          <w:rFonts w:cs="Arial"/>
          <w:lang w:val="en-GB"/>
        </w:rPr>
        <w:t>Internationalized (multilingual) domain names</w:t>
      </w:r>
    </w:p>
    <w:p w14:paraId="1CD50D93" w14:textId="0D898033" w:rsidR="007D5229" w:rsidRPr="002C4050" w:rsidRDefault="007D5229" w:rsidP="007D5229">
      <w:pPr>
        <w:jc w:val="left"/>
        <w:rPr>
          <w:rFonts w:cs="Arial"/>
          <w:lang w:val="en-GB"/>
        </w:rPr>
      </w:pPr>
      <w:r w:rsidRPr="002C4050">
        <w:rPr>
          <w:rFonts w:cs="Arial"/>
          <w:b/>
          <w:lang w:val="en-GB"/>
        </w:rPr>
        <w:t xml:space="preserve">Resolution 50 </w:t>
      </w:r>
      <w:r w:rsidRPr="002C4050">
        <w:rPr>
          <w:rFonts w:cs="Arial"/>
          <w:lang w:val="en-GB"/>
        </w:rPr>
        <w:t>Cybersecurity</w:t>
      </w:r>
    </w:p>
    <w:p w14:paraId="3476832A" w14:textId="46E451DC" w:rsidR="007D5229" w:rsidRPr="002C4050" w:rsidRDefault="007D5229" w:rsidP="007D5229">
      <w:pPr>
        <w:jc w:val="left"/>
        <w:rPr>
          <w:rFonts w:cs="Arial"/>
          <w:b/>
          <w:lang w:val="en-GB"/>
        </w:rPr>
      </w:pPr>
      <w:r w:rsidRPr="002C4050">
        <w:rPr>
          <w:rFonts w:cs="Arial"/>
          <w:b/>
          <w:lang w:val="en-GB"/>
        </w:rPr>
        <w:t xml:space="preserve">Resolution 54 </w:t>
      </w:r>
      <w:r w:rsidRPr="002C4050">
        <w:rPr>
          <w:rFonts w:cs="Arial"/>
          <w:lang w:val="en-GB"/>
        </w:rPr>
        <w:t>Regional groups of study groups of the ITU Telecommunication Standardization Sector</w:t>
      </w:r>
    </w:p>
    <w:p w14:paraId="4192B607" w14:textId="2A4C0529" w:rsidR="007D5229" w:rsidRPr="002C4050" w:rsidRDefault="007D5229" w:rsidP="007D5229">
      <w:pPr>
        <w:jc w:val="left"/>
        <w:rPr>
          <w:rFonts w:cs="Arial"/>
          <w:b/>
          <w:lang w:val="en-GB"/>
        </w:rPr>
      </w:pPr>
      <w:r w:rsidRPr="002C4050">
        <w:rPr>
          <w:rFonts w:cs="Arial"/>
          <w:b/>
          <w:lang w:val="en-GB"/>
        </w:rPr>
        <w:t xml:space="preserve">Resolution 55 </w:t>
      </w:r>
      <w:r w:rsidRPr="002C4050">
        <w:rPr>
          <w:rFonts w:cs="Arial"/>
          <w:lang w:val="en-GB"/>
        </w:rPr>
        <w:t>Promoting gender equality in ITU Telecommunication Standardization Sector activities</w:t>
      </w:r>
    </w:p>
    <w:p w14:paraId="345E073B" w14:textId="3D35E482" w:rsidR="007D5229" w:rsidRPr="002C4050" w:rsidRDefault="007D5229" w:rsidP="007D5229">
      <w:pPr>
        <w:jc w:val="left"/>
        <w:rPr>
          <w:rFonts w:cs="Arial"/>
          <w:lang w:val="en-GB"/>
        </w:rPr>
      </w:pPr>
      <w:r w:rsidRPr="002C4050">
        <w:rPr>
          <w:rFonts w:cs="Arial"/>
          <w:b/>
          <w:lang w:val="en-GB"/>
        </w:rPr>
        <w:t xml:space="preserve">Resolution 58 </w:t>
      </w:r>
      <w:r w:rsidRPr="002C4050">
        <w:rPr>
          <w:rFonts w:cs="Arial"/>
          <w:lang w:val="en-GB"/>
        </w:rPr>
        <w:t>Encouraging the creation of national computer incident response teams, particularly for developing countries</w:t>
      </w:r>
    </w:p>
    <w:p w14:paraId="1648305D" w14:textId="1105D470" w:rsidR="007D5229" w:rsidRPr="002C4050" w:rsidRDefault="007D5229" w:rsidP="007D5229">
      <w:pPr>
        <w:jc w:val="left"/>
        <w:rPr>
          <w:rFonts w:cs="Arial"/>
          <w:b/>
          <w:lang w:val="en-GB"/>
        </w:rPr>
      </w:pPr>
      <w:r w:rsidRPr="002C4050">
        <w:rPr>
          <w:rFonts w:cs="Arial"/>
          <w:b/>
          <w:lang w:val="en-GB"/>
        </w:rPr>
        <w:t xml:space="preserve">Resolution 60 </w:t>
      </w:r>
      <w:r w:rsidRPr="002C4050">
        <w:rPr>
          <w:rFonts w:cs="Arial"/>
          <w:lang w:val="en-GB"/>
        </w:rPr>
        <w:t>Responding to the challenges of the evolution of the identification/numbering system and its convergence with IP-based systems/networks</w:t>
      </w:r>
    </w:p>
    <w:p w14:paraId="6A740FA9" w14:textId="30622AFB" w:rsidR="007D5229" w:rsidRPr="002C4050" w:rsidRDefault="007D5229" w:rsidP="007D5229">
      <w:pPr>
        <w:jc w:val="left"/>
        <w:rPr>
          <w:rFonts w:cs="Arial"/>
          <w:lang w:val="en-GB"/>
        </w:rPr>
      </w:pPr>
      <w:r w:rsidRPr="002C4050">
        <w:rPr>
          <w:rFonts w:cs="Arial"/>
          <w:b/>
          <w:lang w:val="en-GB"/>
        </w:rPr>
        <w:t xml:space="preserve">Resolution 61 </w:t>
      </w:r>
      <w:r w:rsidRPr="002C4050">
        <w:rPr>
          <w:rFonts w:cs="Arial"/>
          <w:lang w:val="en-GB"/>
        </w:rPr>
        <w:t>Countering and combating misappropriation and misuse of international telecommunication numbering resources</w:t>
      </w:r>
    </w:p>
    <w:p w14:paraId="0189C939" w14:textId="13129BED" w:rsidR="007D5229" w:rsidRPr="002C4050" w:rsidRDefault="007D5229" w:rsidP="007D5229">
      <w:pPr>
        <w:jc w:val="left"/>
        <w:rPr>
          <w:rFonts w:cs="Arial"/>
          <w:b/>
          <w:lang w:val="en-GB"/>
        </w:rPr>
      </w:pPr>
      <w:r w:rsidRPr="002C4050">
        <w:rPr>
          <w:rFonts w:cs="Arial"/>
          <w:b/>
          <w:lang w:val="en-GB"/>
        </w:rPr>
        <w:t xml:space="preserve">Resolution 64 </w:t>
      </w:r>
      <w:r w:rsidRPr="002C4050">
        <w:rPr>
          <w:rFonts w:cs="Arial"/>
          <w:lang w:val="en-GB"/>
        </w:rPr>
        <w:t>Internet protocol address allocation and facilitating the transition to and deployment of IPv6</w:t>
      </w:r>
    </w:p>
    <w:p w14:paraId="1DF948BB" w14:textId="0BB81CD8" w:rsidR="007D5229" w:rsidRPr="002C4050" w:rsidRDefault="007D5229" w:rsidP="007D5229">
      <w:pPr>
        <w:jc w:val="left"/>
        <w:rPr>
          <w:rFonts w:cs="Arial"/>
          <w:b/>
          <w:lang w:val="en-GB"/>
        </w:rPr>
      </w:pPr>
      <w:r w:rsidRPr="002C4050">
        <w:rPr>
          <w:rFonts w:cs="Arial"/>
          <w:b/>
          <w:lang w:val="en-GB"/>
        </w:rPr>
        <w:t xml:space="preserve">Resolution 65 </w:t>
      </w:r>
      <w:r w:rsidRPr="002C4050">
        <w:rPr>
          <w:rFonts w:cs="Arial"/>
          <w:lang w:val="en-GB"/>
        </w:rPr>
        <w:t>Calling party number delivery, calling line identification and origin identification information</w:t>
      </w:r>
    </w:p>
    <w:p w14:paraId="7F67EA2C" w14:textId="67763E15" w:rsidR="007D5229" w:rsidRPr="002C4050" w:rsidRDefault="007D5229" w:rsidP="007D5229">
      <w:pPr>
        <w:jc w:val="left"/>
        <w:rPr>
          <w:rFonts w:cs="Arial"/>
          <w:lang w:val="en-GB"/>
        </w:rPr>
      </w:pPr>
      <w:r w:rsidRPr="002C4050">
        <w:rPr>
          <w:rFonts w:cs="Arial"/>
          <w:b/>
          <w:lang w:val="en-GB"/>
        </w:rPr>
        <w:t xml:space="preserve">Resolution 67 </w:t>
      </w:r>
      <w:r w:rsidRPr="002C4050">
        <w:rPr>
          <w:rFonts w:cs="Arial"/>
          <w:lang w:val="en-GB"/>
        </w:rPr>
        <w:t>Use in the ITU Telecommunication Standardization Sector of the languages of the Union on an equal footing and the Standardization Committee for Vocabulary</w:t>
      </w:r>
    </w:p>
    <w:p w14:paraId="508FA730" w14:textId="64557BF9" w:rsidR="007D5229" w:rsidRPr="002C4050" w:rsidRDefault="007D5229" w:rsidP="007D5229">
      <w:pPr>
        <w:jc w:val="left"/>
        <w:rPr>
          <w:rFonts w:cs="Arial"/>
          <w:lang w:val="en-GB"/>
        </w:rPr>
      </w:pPr>
      <w:r w:rsidRPr="002C4050">
        <w:rPr>
          <w:rFonts w:cs="Arial"/>
          <w:b/>
          <w:lang w:val="en-GB"/>
        </w:rPr>
        <w:t xml:space="preserve">Resolution 70 </w:t>
      </w:r>
      <w:r w:rsidRPr="002C4050">
        <w:rPr>
          <w:rFonts w:cs="Arial"/>
          <w:lang w:val="en-GB"/>
        </w:rPr>
        <w:t>Telecommunication/information and communication technology accessibility for persons with disabilities and persons with specific needs</w:t>
      </w:r>
    </w:p>
    <w:p w14:paraId="320DAEC9" w14:textId="18B69BA9" w:rsidR="007D5229" w:rsidRPr="002C4050" w:rsidRDefault="007D5229" w:rsidP="007D5229">
      <w:pPr>
        <w:jc w:val="left"/>
        <w:rPr>
          <w:rFonts w:cs="Arial"/>
          <w:b/>
          <w:lang w:val="en-GB"/>
        </w:rPr>
      </w:pPr>
      <w:r w:rsidRPr="002C4050">
        <w:rPr>
          <w:rFonts w:cs="Arial"/>
          <w:b/>
          <w:lang w:val="en-GB"/>
        </w:rPr>
        <w:t xml:space="preserve">Resolution 72 </w:t>
      </w:r>
      <w:r w:rsidRPr="002C4050">
        <w:rPr>
          <w:rFonts w:cs="Arial"/>
          <w:lang w:val="en-GB"/>
        </w:rPr>
        <w:t>Measurement and assessment concerns related to human exposure to electromagnetic fields</w:t>
      </w:r>
    </w:p>
    <w:p w14:paraId="51F72066" w14:textId="0C66EBD8" w:rsidR="007D5229" w:rsidRPr="002C4050" w:rsidRDefault="007D5229" w:rsidP="007D5229">
      <w:pPr>
        <w:jc w:val="left"/>
        <w:rPr>
          <w:rFonts w:cs="Arial"/>
          <w:b/>
          <w:lang w:val="en-GB"/>
        </w:rPr>
      </w:pPr>
      <w:r w:rsidRPr="002C4050">
        <w:rPr>
          <w:rFonts w:cs="Arial"/>
          <w:b/>
          <w:lang w:val="en-GB"/>
        </w:rPr>
        <w:lastRenderedPageBreak/>
        <w:t xml:space="preserve">Resolution 73 </w:t>
      </w:r>
      <w:r w:rsidRPr="002C4050">
        <w:rPr>
          <w:rFonts w:cs="Arial"/>
          <w:lang w:val="en-GB"/>
        </w:rPr>
        <w:t>Information and communication technologies, environment, climate change and circular economy</w:t>
      </w:r>
    </w:p>
    <w:p w14:paraId="10A2B88F" w14:textId="2C54F328" w:rsidR="007D5229" w:rsidRPr="002C4050" w:rsidRDefault="007D5229" w:rsidP="007D5229">
      <w:pPr>
        <w:jc w:val="left"/>
        <w:rPr>
          <w:rFonts w:cs="Arial"/>
          <w:b/>
          <w:lang w:val="en-GB"/>
        </w:rPr>
      </w:pPr>
      <w:r w:rsidRPr="002C4050">
        <w:rPr>
          <w:rFonts w:cs="Arial"/>
          <w:b/>
          <w:lang w:val="en-GB"/>
        </w:rPr>
        <w:t xml:space="preserve">Resolution 74 </w:t>
      </w:r>
      <w:r w:rsidRPr="002C4050">
        <w:rPr>
          <w:rFonts w:cs="Arial"/>
          <w:lang w:val="en-GB"/>
        </w:rPr>
        <w:t>Enhancing participation of Sector Members from developing countries in the work of the ITU Telecommunication Standardization Sector</w:t>
      </w:r>
    </w:p>
    <w:p w14:paraId="4D8EEEB6" w14:textId="1085E7BC" w:rsidR="007D5229" w:rsidRPr="002C4050" w:rsidRDefault="007D5229" w:rsidP="007D5229">
      <w:pPr>
        <w:jc w:val="left"/>
        <w:rPr>
          <w:rFonts w:cs="Arial"/>
          <w:b/>
          <w:lang w:val="en-GB"/>
        </w:rPr>
      </w:pPr>
      <w:r w:rsidRPr="002C4050">
        <w:rPr>
          <w:rFonts w:cs="Arial"/>
          <w:b/>
          <w:lang w:val="en-GB"/>
        </w:rPr>
        <w:t xml:space="preserve">Resolution 75 </w:t>
      </w:r>
      <w:r w:rsidRPr="002C4050">
        <w:rPr>
          <w:rFonts w:cs="Arial"/>
          <w:lang w:val="en-GB"/>
        </w:rPr>
        <w:t xml:space="preserve">The ITU Telecommunication Standardization Sector's contribution in implementing the outcomes of the World Summit on the Information Society, </w:t>
      </w:r>
      <w:proofErr w:type="gramStart"/>
      <w:r w:rsidRPr="002C4050">
        <w:rPr>
          <w:rFonts w:cs="Arial"/>
          <w:lang w:val="en-GB"/>
        </w:rPr>
        <w:t>taking into account</w:t>
      </w:r>
      <w:proofErr w:type="gramEnd"/>
      <w:r w:rsidRPr="002C4050">
        <w:rPr>
          <w:rFonts w:cs="Arial"/>
          <w:lang w:val="en-GB"/>
        </w:rPr>
        <w:t xml:space="preserve"> the 2030 Agenda for Sustainable Development</w:t>
      </w:r>
    </w:p>
    <w:p w14:paraId="7F688EC2" w14:textId="2B1682EF" w:rsidR="007D5229" w:rsidRPr="002C4050" w:rsidRDefault="007D5229" w:rsidP="007D5229">
      <w:pPr>
        <w:jc w:val="left"/>
        <w:rPr>
          <w:rFonts w:cs="Arial"/>
          <w:b/>
          <w:lang w:val="en-GB"/>
        </w:rPr>
      </w:pPr>
      <w:r w:rsidRPr="002C4050">
        <w:rPr>
          <w:rFonts w:cs="Arial"/>
          <w:b/>
          <w:lang w:val="en-GB"/>
        </w:rPr>
        <w:t xml:space="preserve">Resolution 76 </w:t>
      </w:r>
      <w:r w:rsidRPr="002C4050">
        <w:rPr>
          <w:rFonts w:cs="Arial"/>
          <w:lang w:val="en-GB"/>
        </w:rPr>
        <w:t>Studies related to conformance and interoperability testing, assistance to developing countries, and a possible future ITU Mark programme</w:t>
      </w:r>
    </w:p>
    <w:p w14:paraId="6939B617" w14:textId="7DC7E54E" w:rsidR="007D5229" w:rsidRPr="002C4050" w:rsidRDefault="007D5229" w:rsidP="007D5229">
      <w:pPr>
        <w:jc w:val="left"/>
        <w:rPr>
          <w:rFonts w:cs="Arial"/>
          <w:b/>
          <w:lang w:val="en-GB"/>
        </w:rPr>
      </w:pPr>
      <w:r w:rsidRPr="002C4050">
        <w:rPr>
          <w:rFonts w:cs="Arial"/>
          <w:b/>
          <w:lang w:val="en-GB"/>
        </w:rPr>
        <w:t xml:space="preserve">Resolution 78 </w:t>
      </w:r>
      <w:r w:rsidRPr="002C4050">
        <w:rPr>
          <w:rFonts w:cs="Arial"/>
          <w:lang w:val="en-GB"/>
        </w:rPr>
        <w:t>Information and communication technology applications and standards for improved access to e-health services</w:t>
      </w:r>
    </w:p>
    <w:p w14:paraId="660B75E2" w14:textId="7DF080E9" w:rsidR="007D5229" w:rsidRPr="002C4050" w:rsidRDefault="007D5229" w:rsidP="007D5229">
      <w:pPr>
        <w:jc w:val="left"/>
        <w:rPr>
          <w:rFonts w:cs="Arial"/>
          <w:b/>
          <w:lang w:val="en-GB"/>
        </w:rPr>
      </w:pPr>
      <w:r w:rsidRPr="002C4050">
        <w:rPr>
          <w:rFonts w:cs="Arial"/>
          <w:b/>
          <w:lang w:val="en-GB"/>
        </w:rPr>
        <w:t xml:space="preserve">Resolution 79 </w:t>
      </w:r>
      <w:r w:rsidRPr="002C4050">
        <w:rPr>
          <w:rFonts w:cs="Arial"/>
          <w:lang w:val="en-GB"/>
        </w:rPr>
        <w:t>The role of telecommunications/information and communication technologies in handling and controlling e-waste from telecommunication and information technology equipment and methods of treating it</w:t>
      </w:r>
    </w:p>
    <w:p w14:paraId="60B63DA9" w14:textId="4046D09D" w:rsidR="007D5229" w:rsidRPr="002C4050" w:rsidRDefault="007D5229" w:rsidP="007D5229">
      <w:pPr>
        <w:jc w:val="left"/>
        <w:rPr>
          <w:rFonts w:cs="Arial"/>
          <w:b/>
          <w:lang w:val="en-GB"/>
        </w:rPr>
      </w:pPr>
      <w:r w:rsidRPr="002C4050">
        <w:rPr>
          <w:rFonts w:cs="Arial"/>
          <w:b/>
          <w:lang w:val="en-GB"/>
        </w:rPr>
        <w:t xml:space="preserve">Resolution 84 </w:t>
      </w:r>
      <w:r w:rsidRPr="002C4050">
        <w:rPr>
          <w:rFonts w:cs="Arial"/>
          <w:lang w:val="en-GB"/>
        </w:rPr>
        <w:t>Studies concerning the protection of users of telecommunication/information and communication technology services</w:t>
      </w:r>
    </w:p>
    <w:p w14:paraId="4A685F13" w14:textId="6F777170" w:rsidR="007D5229" w:rsidRPr="002C4050" w:rsidRDefault="007D5229" w:rsidP="007D5229">
      <w:pPr>
        <w:jc w:val="left"/>
        <w:rPr>
          <w:rFonts w:cs="Arial"/>
          <w:lang w:val="en-GB"/>
        </w:rPr>
      </w:pPr>
      <w:r w:rsidRPr="002C4050">
        <w:rPr>
          <w:rFonts w:cs="Arial"/>
          <w:b/>
          <w:lang w:val="en-GB"/>
        </w:rPr>
        <w:t xml:space="preserve">Resolution 89 </w:t>
      </w:r>
      <w:r w:rsidRPr="002C4050">
        <w:rPr>
          <w:rFonts w:cs="Arial"/>
          <w:lang w:val="en-GB"/>
        </w:rPr>
        <w:t>Promoting the use of information and communication technologies to bridge the financial inclusion gap</w:t>
      </w:r>
    </w:p>
    <w:p w14:paraId="21143E36" w14:textId="4AE7E5CF" w:rsidR="007D5229" w:rsidRPr="002C4050" w:rsidRDefault="007D5229" w:rsidP="007D5229">
      <w:pPr>
        <w:jc w:val="left"/>
        <w:rPr>
          <w:rFonts w:cs="Arial"/>
          <w:b/>
          <w:lang w:val="en-GB"/>
        </w:rPr>
      </w:pPr>
      <w:r w:rsidRPr="002C4050">
        <w:rPr>
          <w:rFonts w:cs="Arial"/>
          <w:b/>
          <w:lang w:val="en-GB"/>
        </w:rPr>
        <w:t xml:space="preserve">Resolution 91 </w:t>
      </w:r>
      <w:r w:rsidRPr="002C4050">
        <w:rPr>
          <w:rFonts w:cs="Arial"/>
          <w:lang w:val="en-GB"/>
        </w:rPr>
        <w:t>Enhancing access to an electronic repository of information on numbering plans published by the ITU Telecommunication Standardization Sector</w:t>
      </w:r>
    </w:p>
    <w:p w14:paraId="20A35D15" w14:textId="7AD1A616" w:rsidR="007D5229" w:rsidRPr="002C4050" w:rsidRDefault="007D5229" w:rsidP="007D5229">
      <w:pPr>
        <w:jc w:val="left"/>
        <w:rPr>
          <w:rFonts w:cs="Arial"/>
          <w:b/>
          <w:lang w:val="en-GB"/>
        </w:rPr>
      </w:pPr>
      <w:r w:rsidRPr="002C4050">
        <w:rPr>
          <w:rFonts w:cs="Arial"/>
          <w:b/>
          <w:lang w:val="en-GB"/>
        </w:rPr>
        <w:t xml:space="preserve">Resolution 92 </w:t>
      </w:r>
      <w:r w:rsidRPr="002C4050">
        <w:rPr>
          <w:rFonts w:cs="Arial"/>
          <w:lang w:val="en-GB"/>
        </w:rPr>
        <w:t>Enhancing the standardization activities in the ITU Telecommunication Standardization Sector related to non-radio aspects of international mobile telecommunications</w:t>
      </w:r>
    </w:p>
    <w:p w14:paraId="3636C2B3" w14:textId="36996FEF" w:rsidR="007D5229" w:rsidRPr="002C4050" w:rsidRDefault="007D5229" w:rsidP="007D5229">
      <w:pPr>
        <w:jc w:val="left"/>
        <w:rPr>
          <w:rFonts w:cs="Arial"/>
          <w:b/>
          <w:lang w:val="en-GB"/>
        </w:rPr>
      </w:pPr>
      <w:r w:rsidRPr="002C4050">
        <w:rPr>
          <w:rFonts w:cs="Arial"/>
          <w:b/>
          <w:lang w:val="en-GB"/>
        </w:rPr>
        <w:t xml:space="preserve">Resolution 95 </w:t>
      </w:r>
      <w:r w:rsidRPr="002C4050">
        <w:rPr>
          <w:rFonts w:cs="Arial"/>
          <w:lang w:val="en-GB"/>
        </w:rPr>
        <w:t>ITU Telecommunication Standardization Sector initiatives to raise awareness on best practices and policies related to service quality</w:t>
      </w:r>
    </w:p>
    <w:p w14:paraId="6DD81F39" w14:textId="7400AAF1" w:rsidR="007D5229" w:rsidRPr="002C4050" w:rsidRDefault="007D5229" w:rsidP="007D5229">
      <w:pPr>
        <w:jc w:val="left"/>
        <w:rPr>
          <w:rFonts w:cs="Arial"/>
          <w:b/>
          <w:lang w:val="en-GB"/>
        </w:rPr>
      </w:pPr>
      <w:r w:rsidRPr="002C4050">
        <w:rPr>
          <w:rFonts w:cs="Arial"/>
          <w:b/>
          <w:lang w:val="en-GB"/>
        </w:rPr>
        <w:t xml:space="preserve">Resolution 97 </w:t>
      </w:r>
      <w:r w:rsidRPr="002C4050">
        <w:rPr>
          <w:rFonts w:cs="Arial"/>
          <w:lang w:val="en-GB"/>
        </w:rPr>
        <w:t>Combating mobile telecommunication device theft</w:t>
      </w:r>
    </w:p>
    <w:p w14:paraId="5C235AD2" w14:textId="78D81898" w:rsidR="007D7C8F" w:rsidRPr="002C4050" w:rsidRDefault="007D5229" w:rsidP="007D5229">
      <w:pPr>
        <w:jc w:val="left"/>
        <w:rPr>
          <w:rFonts w:cs="Arial"/>
          <w:lang w:val="en-GB"/>
        </w:rPr>
      </w:pPr>
      <w:r w:rsidRPr="002C4050">
        <w:rPr>
          <w:rFonts w:cs="Arial"/>
          <w:b/>
          <w:lang w:val="en-GB"/>
        </w:rPr>
        <w:t xml:space="preserve">Resolution 98 </w:t>
      </w:r>
      <w:r w:rsidRPr="002C4050">
        <w:rPr>
          <w:rFonts w:cs="Arial"/>
          <w:lang w:val="en-GB"/>
        </w:rPr>
        <w:t>Enhancing the standardization of Internet of things and smart cities and communities for global development</w:t>
      </w:r>
    </w:p>
    <w:p w14:paraId="1534759C" w14:textId="0B832503" w:rsidR="00497724" w:rsidRPr="002C4050" w:rsidRDefault="00497724" w:rsidP="007D5229">
      <w:pPr>
        <w:jc w:val="left"/>
        <w:rPr>
          <w:rFonts w:cs="Arial"/>
          <w:lang w:val="en-GB"/>
        </w:rPr>
      </w:pPr>
    </w:p>
    <w:p w14:paraId="7460ABB6" w14:textId="586CBBC4" w:rsidR="00497724" w:rsidRPr="00C21BA3" w:rsidRDefault="00497724" w:rsidP="00A038FF">
      <w:pPr>
        <w:pStyle w:val="Heading2"/>
      </w:pPr>
      <w:r w:rsidRPr="00C21BA3">
        <w:t>New Resolutions</w:t>
      </w:r>
    </w:p>
    <w:p w14:paraId="444FAE94" w14:textId="7E0DDEA1" w:rsidR="00497724" w:rsidRPr="002C4050" w:rsidRDefault="00497724" w:rsidP="00497724">
      <w:pPr>
        <w:jc w:val="left"/>
        <w:rPr>
          <w:rFonts w:cs="Arial"/>
          <w:b/>
          <w:lang w:val="en-GB"/>
        </w:rPr>
      </w:pPr>
      <w:r w:rsidRPr="002C4050">
        <w:rPr>
          <w:rFonts w:cs="Arial"/>
          <w:b/>
          <w:lang w:val="en-GB"/>
        </w:rPr>
        <w:t xml:space="preserve">Resolution 99 </w:t>
      </w:r>
      <w:r w:rsidRPr="002C4050">
        <w:rPr>
          <w:rFonts w:cs="Arial"/>
          <w:lang w:val="en-GB"/>
        </w:rPr>
        <w:t>Consideration of organizational reform of the ITU Telecommunication Standardization Sector study groups</w:t>
      </w:r>
    </w:p>
    <w:p w14:paraId="412FADAB" w14:textId="33568651" w:rsidR="00497724" w:rsidRPr="002C4050" w:rsidRDefault="00497724" w:rsidP="00497724">
      <w:pPr>
        <w:jc w:val="left"/>
        <w:rPr>
          <w:rFonts w:cs="Arial"/>
          <w:lang w:val="en-GB"/>
        </w:rPr>
      </w:pPr>
      <w:r w:rsidRPr="002C4050">
        <w:rPr>
          <w:rFonts w:cs="Arial"/>
          <w:b/>
          <w:lang w:val="en-GB"/>
        </w:rPr>
        <w:t xml:space="preserve">Resolution 100 </w:t>
      </w:r>
      <w:r w:rsidRPr="002C4050">
        <w:rPr>
          <w:rFonts w:cs="Arial"/>
          <w:lang w:val="en-GB"/>
        </w:rPr>
        <w:t>A common emergency number for Africa</w:t>
      </w:r>
    </w:p>
    <w:p w14:paraId="196B97B6" w14:textId="77777777" w:rsidR="002C4050" w:rsidRPr="002C4050" w:rsidRDefault="002C4050" w:rsidP="00497724">
      <w:pPr>
        <w:jc w:val="left"/>
        <w:rPr>
          <w:rFonts w:cs="Arial"/>
          <w:lang w:val="en-GB"/>
        </w:rPr>
      </w:pPr>
    </w:p>
    <w:p w14:paraId="59E70700" w14:textId="276E2592" w:rsidR="002C4050" w:rsidRPr="00C21BA3" w:rsidRDefault="002C4050" w:rsidP="00A658F1">
      <w:pPr>
        <w:pStyle w:val="Heading2"/>
      </w:pPr>
      <w:r w:rsidRPr="00C21BA3">
        <w:t>Revised Recommendations</w:t>
      </w:r>
    </w:p>
    <w:p w14:paraId="3A4A0F2E" w14:textId="075C929C" w:rsidR="002C4050" w:rsidRPr="002C4050" w:rsidRDefault="002C4050" w:rsidP="002C4050">
      <w:pPr>
        <w:rPr>
          <w:rFonts w:ascii="Verdana" w:hAnsi="Verdana"/>
          <w:sz w:val="24"/>
          <w:lang w:val="en-GB"/>
        </w:rPr>
      </w:pPr>
      <w:r w:rsidRPr="002C4050">
        <w:rPr>
          <w:rFonts w:cs="Arial"/>
          <w:b/>
          <w:lang w:val="en-GB"/>
        </w:rPr>
        <w:t>Recommendation A.1</w:t>
      </w:r>
      <w:r w:rsidRPr="002C4050">
        <w:rPr>
          <w:rFonts w:cs="Arial"/>
          <w:b/>
          <w:bCs/>
          <w:lang w:val="en-GB"/>
        </w:rPr>
        <w:t xml:space="preserve"> </w:t>
      </w:r>
      <w:r w:rsidRPr="002C4050">
        <w:rPr>
          <w:rFonts w:cs="Arial"/>
          <w:lang w:val="en-GB"/>
        </w:rPr>
        <w:t>Working Methods</w:t>
      </w:r>
    </w:p>
    <w:p w14:paraId="005C0FAD" w14:textId="751A8901" w:rsidR="002C4050" w:rsidRPr="002C4050" w:rsidRDefault="002C4050" w:rsidP="002C4050">
      <w:pPr>
        <w:rPr>
          <w:rFonts w:ascii="Verdana" w:hAnsi="Verdana"/>
          <w:lang w:val="en-GB"/>
        </w:rPr>
      </w:pPr>
      <w:r w:rsidRPr="002C4050">
        <w:rPr>
          <w:rFonts w:cs="Arial"/>
          <w:lang w:val="en-GB"/>
        </w:rPr>
        <w:t>It was agreed that no revised text proposals from each of the ITU regions would be agreed at WTSA. Instead, the regional proposals would be considered at the next TSAG meeting.</w:t>
      </w:r>
    </w:p>
    <w:p w14:paraId="66D216EB" w14:textId="6161A43A" w:rsidR="002C4050" w:rsidRPr="002C4050" w:rsidRDefault="002C4050" w:rsidP="002C4050">
      <w:pPr>
        <w:rPr>
          <w:rFonts w:ascii="Verdana" w:hAnsi="Verdana"/>
          <w:lang w:val="en-GB"/>
        </w:rPr>
      </w:pPr>
      <w:r w:rsidRPr="002C4050">
        <w:rPr>
          <w:rFonts w:cs="Arial"/>
          <w:b/>
          <w:bCs/>
          <w:lang w:val="en-GB"/>
        </w:rPr>
        <w:t xml:space="preserve">Recommendation A.5 </w:t>
      </w:r>
      <w:r w:rsidRPr="002C4050">
        <w:rPr>
          <w:rFonts w:cs="Arial"/>
          <w:lang w:val="en-GB"/>
        </w:rPr>
        <w:t>Generic procedures for including references to documents of other organizations in ITU-T Recommendations</w:t>
      </w:r>
    </w:p>
    <w:p w14:paraId="602AE92E" w14:textId="6440C78E" w:rsidR="002C4050" w:rsidRPr="002C4050" w:rsidRDefault="002C4050" w:rsidP="002C4050">
      <w:pPr>
        <w:rPr>
          <w:rFonts w:cs="Arial"/>
          <w:lang w:val="en-GB"/>
        </w:rPr>
      </w:pPr>
      <w:r w:rsidRPr="002C4050">
        <w:rPr>
          <w:rFonts w:cs="Arial"/>
          <w:lang w:val="en-GB"/>
        </w:rPr>
        <w:t xml:space="preserve">This recommendation was revised with </w:t>
      </w:r>
      <w:proofErr w:type="gramStart"/>
      <w:r w:rsidRPr="002C4050">
        <w:rPr>
          <w:rFonts w:cs="Arial"/>
          <w:lang w:val="en-GB"/>
        </w:rPr>
        <w:t>a number of</w:t>
      </w:r>
      <w:proofErr w:type="gramEnd"/>
      <w:r w:rsidRPr="002C4050">
        <w:rPr>
          <w:rFonts w:cs="Arial"/>
          <w:lang w:val="en-GB"/>
        </w:rPr>
        <w:t xml:space="preserve"> issues raised in the ECP reflected in the final text.</w:t>
      </w:r>
    </w:p>
    <w:p w14:paraId="6940651F" w14:textId="1D9C1724" w:rsidR="002C4050" w:rsidRPr="002C4050" w:rsidRDefault="002C4050" w:rsidP="002C4050">
      <w:pPr>
        <w:rPr>
          <w:rFonts w:ascii="Verdana" w:hAnsi="Verdana"/>
          <w:lang w:val="en-GB"/>
        </w:rPr>
      </w:pPr>
      <w:r w:rsidRPr="002C4050">
        <w:rPr>
          <w:rFonts w:cs="Arial"/>
          <w:b/>
          <w:bCs/>
          <w:lang w:val="en-GB"/>
        </w:rPr>
        <w:t>Recommendation A.7</w:t>
      </w:r>
      <w:r w:rsidRPr="002C4050">
        <w:rPr>
          <w:rFonts w:ascii="Verdana" w:hAnsi="Verdana"/>
          <w:b/>
          <w:bCs/>
          <w:lang w:val="en-GB"/>
        </w:rPr>
        <w:t xml:space="preserve"> </w:t>
      </w:r>
      <w:r w:rsidRPr="002C4050">
        <w:rPr>
          <w:rFonts w:cs="Arial"/>
          <w:lang w:val="en-GB"/>
        </w:rPr>
        <w:t>Focus Groups</w:t>
      </w:r>
    </w:p>
    <w:p w14:paraId="15DB7F4A" w14:textId="471C54AA" w:rsidR="002C4050" w:rsidRPr="002C4050" w:rsidRDefault="002C4050" w:rsidP="002C4050">
      <w:pPr>
        <w:rPr>
          <w:rFonts w:cs="Arial"/>
          <w:lang w:val="en-GB"/>
        </w:rPr>
      </w:pPr>
      <w:r w:rsidRPr="002C4050">
        <w:rPr>
          <w:rFonts w:cs="Arial"/>
          <w:lang w:val="en-GB"/>
        </w:rPr>
        <w:t>It was agreed that no revised text proposals from each of the ITU regions would be agreed at WTSA. Instead, the regional proposals would be considered at the next TSAG meeting.</w:t>
      </w:r>
    </w:p>
    <w:p w14:paraId="20AEE99D" w14:textId="334579B1" w:rsidR="002C4050" w:rsidRPr="002C4050" w:rsidRDefault="002C4050" w:rsidP="002C4050">
      <w:pPr>
        <w:rPr>
          <w:rFonts w:cs="Arial"/>
          <w:lang w:val="en-GB"/>
        </w:rPr>
      </w:pPr>
      <w:r w:rsidRPr="002C4050">
        <w:rPr>
          <w:rFonts w:cs="Arial"/>
          <w:b/>
          <w:bCs/>
          <w:lang w:val="en-GB"/>
        </w:rPr>
        <w:lastRenderedPageBreak/>
        <w:t xml:space="preserve">Recommendation A.8 </w:t>
      </w:r>
      <w:r w:rsidRPr="002C4050">
        <w:rPr>
          <w:rFonts w:cs="Arial"/>
          <w:lang w:val="en-GB"/>
        </w:rPr>
        <w:t>Alternative approval process for new and revised ITU-T Recommendations</w:t>
      </w:r>
    </w:p>
    <w:p w14:paraId="47A42B34" w14:textId="1D63B49D" w:rsidR="002C4050" w:rsidRPr="002C4050" w:rsidRDefault="002C4050" w:rsidP="002C4050">
      <w:pPr>
        <w:rPr>
          <w:rFonts w:cs="Arial"/>
          <w:lang w:val="en-GB"/>
        </w:rPr>
      </w:pPr>
      <w:r w:rsidRPr="002C4050">
        <w:rPr>
          <w:rFonts w:cs="Arial"/>
          <w:lang w:val="en-GB"/>
        </w:rPr>
        <w:t xml:space="preserve">This recommendation was revised with </w:t>
      </w:r>
      <w:proofErr w:type="gramStart"/>
      <w:r w:rsidRPr="002C4050">
        <w:rPr>
          <w:rFonts w:cs="Arial"/>
          <w:lang w:val="en-GB"/>
        </w:rPr>
        <w:t>a number of</w:t>
      </w:r>
      <w:proofErr w:type="gramEnd"/>
      <w:r w:rsidRPr="002C4050">
        <w:rPr>
          <w:rFonts w:cs="Arial"/>
          <w:lang w:val="en-GB"/>
        </w:rPr>
        <w:t xml:space="preserve"> issues raised in the ECP reflected in the final text.</w:t>
      </w:r>
    </w:p>
    <w:p w14:paraId="0D18CEE9" w14:textId="0704B28A" w:rsidR="00A038FF" w:rsidRPr="002C4050" w:rsidRDefault="00A038FF" w:rsidP="00497724">
      <w:pPr>
        <w:jc w:val="left"/>
        <w:rPr>
          <w:rFonts w:cs="Arial"/>
          <w:lang w:val="en-GB"/>
        </w:rPr>
      </w:pPr>
    </w:p>
    <w:p w14:paraId="62408A42" w14:textId="77777777" w:rsidR="00A038FF" w:rsidRPr="00C21BA3" w:rsidRDefault="00A038FF" w:rsidP="00A038FF">
      <w:pPr>
        <w:pStyle w:val="Heading2"/>
      </w:pPr>
      <w:r w:rsidRPr="00C21BA3">
        <w:t>Resolutions deleted</w:t>
      </w:r>
    </w:p>
    <w:p w14:paraId="158F09A2" w14:textId="733075AB" w:rsidR="00A038FF" w:rsidRPr="002C4050" w:rsidRDefault="00A038FF" w:rsidP="00A038FF">
      <w:pPr>
        <w:jc w:val="left"/>
        <w:rPr>
          <w:rFonts w:cs="Arial"/>
          <w:lang w:val="en-GB"/>
        </w:rPr>
      </w:pPr>
      <w:r w:rsidRPr="002C4050">
        <w:rPr>
          <w:rFonts w:cs="Arial"/>
          <w:b/>
          <w:lang w:val="en-GB"/>
        </w:rPr>
        <w:t>Resolution 35</w:t>
      </w:r>
      <w:r w:rsidRPr="002C4050">
        <w:rPr>
          <w:rFonts w:cs="Arial"/>
          <w:lang w:val="en-GB"/>
        </w:rPr>
        <w:tab/>
        <w:t>Appointment and maximum term of office for chairmen and vice-chairmen of study groups of the Telecommunication Standardization Sector and of the Telecommunication Standardization Advisory Group</w:t>
      </w:r>
    </w:p>
    <w:p w14:paraId="2B713C7B" w14:textId="01153779" w:rsidR="00A038FF" w:rsidRPr="002C4050" w:rsidRDefault="00A038FF" w:rsidP="00A038FF">
      <w:pPr>
        <w:jc w:val="left"/>
        <w:rPr>
          <w:rFonts w:cs="Arial"/>
          <w:lang w:val="en-GB"/>
        </w:rPr>
      </w:pPr>
      <w:r w:rsidRPr="002C4050">
        <w:rPr>
          <w:rFonts w:cs="Arial"/>
          <w:b/>
          <w:lang w:val="en-GB"/>
        </w:rPr>
        <w:t>Resolution 45</w:t>
      </w:r>
      <w:r w:rsidRPr="002C4050">
        <w:rPr>
          <w:rFonts w:cs="Arial"/>
          <w:lang w:val="en-GB"/>
        </w:rPr>
        <w:tab/>
        <w:t>Effective coordination of standardization work across study groups in the ITU Telecommunication Standardization Sector and the role of the ITU Telecommunication Standardization Advisory Group</w:t>
      </w:r>
    </w:p>
    <w:p w14:paraId="322A101A" w14:textId="6D072905" w:rsidR="00A038FF" w:rsidRPr="002C4050" w:rsidRDefault="00A038FF" w:rsidP="00A038FF">
      <w:pPr>
        <w:jc w:val="left"/>
        <w:rPr>
          <w:rFonts w:cs="Arial"/>
          <w:lang w:val="en-GB"/>
        </w:rPr>
      </w:pPr>
      <w:r w:rsidRPr="002C4050">
        <w:rPr>
          <w:rFonts w:cs="Arial"/>
          <w:b/>
          <w:lang w:val="en-GB"/>
        </w:rPr>
        <w:t>Resolution 59</w:t>
      </w:r>
      <w:r w:rsidRPr="002C4050">
        <w:rPr>
          <w:rFonts w:cs="Arial"/>
          <w:lang w:val="en-GB"/>
        </w:rPr>
        <w:tab/>
        <w:t>Enhancing participation of telecommunication operators from developing countries</w:t>
      </w:r>
    </w:p>
    <w:p w14:paraId="5A4218F2" w14:textId="299302A3" w:rsidR="00A038FF" w:rsidRPr="002C4050" w:rsidRDefault="00A038FF" w:rsidP="00A038FF">
      <w:pPr>
        <w:jc w:val="left"/>
        <w:rPr>
          <w:rFonts w:cs="Arial"/>
          <w:lang w:val="en-GB"/>
        </w:rPr>
      </w:pPr>
      <w:r w:rsidRPr="002C4050">
        <w:rPr>
          <w:rFonts w:cs="Arial"/>
          <w:b/>
          <w:lang w:val="en-GB"/>
        </w:rPr>
        <w:t>Resolution 66</w:t>
      </w:r>
      <w:r w:rsidRPr="002C4050">
        <w:rPr>
          <w:rFonts w:cs="Arial"/>
          <w:lang w:val="en-GB"/>
        </w:rPr>
        <w:tab/>
        <w:t>Technology Watch in the Telecommunication Standardization Bureau</w:t>
      </w:r>
    </w:p>
    <w:p w14:paraId="0543CCBE" w14:textId="77777777" w:rsidR="00FC5CED" w:rsidRDefault="00FC5CED">
      <w:pPr>
        <w:spacing w:after="0"/>
        <w:jc w:val="left"/>
        <w:rPr>
          <w:b/>
          <w:sz w:val="28"/>
          <w:lang w:val="en-GB"/>
        </w:rPr>
      </w:pPr>
      <w:r>
        <w:br w:type="page"/>
      </w:r>
    </w:p>
    <w:p w14:paraId="5BAAD465" w14:textId="69087A2C" w:rsidR="00F01BB2" w:rsidRPr="00A658F1" w:rsidRDefault="00F326C3" w:rsidP="00A658F1">
      <w:pPr>
        <w:pStyle w:val="Heading1"/>
        <w:numPr>
          <w:ilvl w:val="0"/>
          <w:numId w:val="0"/>
        </w:numPr>
        <w:ind w:left="851" w:hanging="851"/>
        <w:rPr>
          <w:rFonts w:cs="Times New Roman"/>
          <w:szCs w:val="20"/>
        </w:rPr>
      </w:pPr>
      <w:r w:rsidRPr="00A658F1">
        <w:rPr>
          <w:rFonts w:cs="Times New Roman"/>
          <w:szCs w:val="20"/>
        </w:rPr>
        <w:lastRenderedPageBreak/>
        <w:t xml:space="preserve">Annex 2 </w:t>
      </w:r>
      <w:r w:rsidR="000C6AEA" w:rsidRPr="00A658F1">
        <w:rPr>
          <w:rFonts w:cs="Times New Roman"/>
          <w:szCs w:val="20"/>
        </w:rPr>
        <w:t>–</w:t>
      </w:r>
      <w:r w:rsidRPr="00A658F1">
        <w:rPr>
          <w:rFonts w:cs="Times New Roman"/>
          <w:szCs w:val="20"/>
        </w:rPr>
        <w:t xml:space="preserve"> </w:t>
      </w:r>
      <w:r w:rsidR="00F01BB2" w:rsidRPr="00A658F1">
        <w:rPr>
          <w:rFonts w:cs="Times New Roman"/>
          <w:szCs w:val="20"/>
        </w:rPr>
        <w:t>Results of ECPs</w:t>
      </w:r>
    </w:p>
    <w:p w14:paraId="6DE1D303" w14:textId="783098A9" w:rsidR="000C6AEA" w:rsidRPr="00053980" w:rsidRDefault="000C6AEA" w:rsidP="000C6AEA">
      <w:pPr>
        <w:rPr>
          <w:rFonts w:cs="Arial"/>
          <w:lang w:val="en-GB"/>
        </w:rPr>
      </w:pPr>
      <w:r w:rsidRPr="002C4050">
        <w:rPr>
          <w:rFonts w:cs="Arial"/>
          <w:b/>
          <w:lang w:val="en-GB"/>
        </w:rPr>
        <w:t xml:space="preserve">ECP 1 </w:t>
      </w:r>
      <w:r w:rsidRPr="002C4050">
        <w:rPr>
          <w:rFonts w:cs="Arial"/>
          <w:lang w:val="en-GB"/>
        </w:rPr>
        <w:t>ITU’s Role and our vision for ITU-T</w:t>
      </w:r>
      <w:r w:rsidR="009A1D89">
        <w:rPr>
          <w:rFonts w:cs="Arial"/>
          <w:lang w:val="en-GB"/>
        </w:rPr>
        <w:t xml:space="preserve"> (OK – CEPT’s basis for the overall approach of Europe – noted)</w:t>
      </w:r>
    </w:p>
    <w:p w14:paraId="14028690" w14:textId="742B879A" w:rsidR="000C6AEA" w:rsidRPr="002C4050" w:rsidRDefault="000C6AEA" w:rsidP="000C6AEA">
      <w:pPr>
        <w:rPr>
          <w:rFonts w:cs="Arial"/>
          <w:b/>
          <w:lang w:val="en-GB"/>
        </w:rPr>
      </w:pPr>
      <w:r w:rsidRPr="002C4050">
        <w:rPr>
          <w:rFonts w:cs="Arial"/>
          <w:b/>
          <w:lang w:val="en-GB"/>
        </w:rPr>
        <w:t xml:space="preserve">ECP 2 </w:t>
      </w:r>
      <w:r w:rsidRPr="002C4050">
        <w:rPr>
          <w:rFonts w:cs="Arial"/>
          <w:lang w:val="en-GB"/>
        </w:rPr>
        <w:t>Resolutions 22 and 45 - Role of TSAG in coordination of standardization</w:t>
      </w:r>
      <w:r w:rsidR="00B65217">
        <w:rPr>
          <w:rFonts w:cs="Arial"/>
          <w:lang w:val="en-GB"/>
        </w:rPr>
        <w:t xml:space="preserve"> (OK – streamlining resolutions)</w:t>
      </w:r>
    </w:p>
    <w:p w14:paraId="6C789FFD" w14:textId="02ED61BB" w:rsidR="000C6AEA" w:rsidRPr="002C4050" w:rsidRDefault="000C6AEA" w:rsidP="000C6AEA">
      <w:pPr>
        <w:rPr>
          <w:rFonts w:cs="Arial"/>
          <w:lang w:val="en-GB"/>
        </w:rPr>
      </w:pPr>
      <w:r w:rsidRPr="002C4050">
        <w:rPr>
          <w:rFonts w:cs="Arial"/>
          <w:b/>
          <w:lang w:val="en-GB"/>
        </w:rPr>
        <w:t xml:space="preserve">ECP 3 </w:t>
      </w:r>
      <w:r w:rsidRPr="002C4050">
        <w:rPr>
          <w:rFonts w:cs="Arial"/>
          <w:lang w:val="en-GB"/>
        </w:rPr>
        <w:t>Resolutions 1 and 35 - Streamlining with PP-18 Resolution 208</w:t>
      </w:r>
      <w:r w:rsidR="00CD646D">
        <w:rPr>
          <w:rFonts w:cs="Arial"/>
          <w:lang w:val="en-GB"/>
        </w:rPr>
        <w:t xml:space="preserve"> (OK)</w:t>
      </w:r>
    </w:p>
    <w:p w14:paraId="3C5CAF1A" w14:textId="75B639A6" w:rsidR="000C6AEA" w:rsidRPr="00053980" w:rsidRDefault="000C6AEA" w:rsidP="000C6AEA">
      <w:pPr>
        <w:rPr>
          <w:rFonts w:cs="Arial"/>
          <w:lang w:val="en-GB"/>
        </w:rPr>
      </w:pPr>
      <w:r w:rsidRPr="002C4050">
        <w:rPr>
          <w:rFonts w:cs="Arial"/>
          <w:b/>
          <w:lang w:val="en-GB"/>
        </w:rPr>
        <w:t xml:space="preserve">ECP 4 </w:t>
      </w:r>
      <w:r w:rsidRPr="002C4050">
        <w:rPr>
          <w:rFonts w:cs="Arial"/>
          <w:lang w:val="en-GB"/>
        </w:rPr>
        <w:t>Resolution 75 – Sustainable Development Goals</w:t>
      </w:r>
      <w:r w:rsidR="00CD646D">
        <w:rPr>
          <w:rFonts w:cs="Arial"/>
          <w:lang w:val="en-GB"/>
        </w:rPr>
        <w:t xml:space="preserve"> (OK – streamlining resolutions)</w:t>
      </w:r>
    </w:p>
    <w:p w14:paraId="0BE5CB1F" w14:textId="63A94C09" w:rsidR="000C6AEA" w:rsidRPr="002C4050" w:rsidRDefault="000C6AEA" w:rsidP="000C6AEA">
      <w:pPr>
        <w:rPr>
          <w:rFonts w:cs="Arial"/>
          <w:b/>
          <w:lang w:val="en-GB"/>
        </w:rPr>
      </w:pPr>
      <w:r w:rsidRPr="002C4050">
        <w:rPr>
          <w:rFonts w:cs="Arial"/>
          <w:b/>
          <w:lang w:val="en-GB"/>
        </w:rPr>
        <w:t xml:space="preserve">ECP 5 </w:t>
      </w:r>
      <w:r w:rsidRPr="002C4050">
        <w:rPr>
          <w:rFonts w:cs="Arial"/>
          <w:lang w:val="en-GB"/>
        </w:rPr>
        <w:t xml:space="preserve">Resolution 73 - ICT, </w:t>
      </w:r>
      <w:proofErr w:type="gramStart"/>
      <w:r w:rsidRPr="002C4050">
        <w:rPr>
          <w:rFonts w:cs="Arial"/>
          <w:lang w:val="en-GB"/>
        </w:rPr>
        <w:t>environment</w:t>
      </w:r>
      <w:proofErr w:type="gramEnd"/>
      <w:r w:rsidRPr="002C4050">
        <w:rPr>
          <w:rFonts w:cs="Arial"/>
          <w:lang w:val="en-GB"/>
        </w:rPr>
        <w:t xml:space="preserve"> and climate change</w:t>
      </w:r>
      <w:r w:rsidR="00CD646D">
        <w:rPr>
          <w:rFonts w:cs="Arial"/>
          <w:lang w:val="en-GB"/>
        </w:rPr>
        <w:t xml:space="preserve"> (OK – streamlining resolutions)</w:t>
      </w:r>
    </w:p>
    <w:p w14:paraId="0B429406" w14:textId="0D79C55A" w:rsidR="000C6AEA" w:rsidRDefault="000C6AEA" w:rsidP="000C6AEA">
      <w:pPr>
        <w:rPr>
          <w:rFonts w:cs="Arial"/>
          <w:lang w:val="en-GB"/>
        </w:rPr>
      </w:pPr>
      <w:r w:rsidRPr="002C4050">
        <w:rPr>
          <w:rFonts w:cs="Arial"/>
          <w:b/>
          <w:lang w:val="en-GB"/>
        </w:rPr>
        <w:t xml:space="preserve">ECP 6 </w:t>
      </w:r>
      <w:r w:rsidRPr="002C4050">
        <w:rPr>
          <w:rFonts w:cs="Arial"/>
          <w:lang w:val="en-GB"/>
        </w:rPr>
        <w:t>Resolution 50 – Cybersecurity</w:t>
      </w:r>
    </w:p>
    <w:p w14:paraId="1435641A" w14:textId="4AE337E9" w:rsidR="000C6AEA" w:rsidRPr="00053980" w:rsidRDefault="00071CAB" w:rsidP="000C6AEA">
      <w:pPr>
        <w:rPr>
          <w:rFonts w:cs="Arial"/>
          <w:lang w:val="en-GB"/>
        </w:rPr>
      </w:pPr>
      <w:r>
        <w:rPr>
          <w:rFonts w:cs="Arial"/>
          <w:lang w:val="en-GB"/>
        </w:rPr>
        <w:t>CEPT</w:t>
      </w:r>
      <w:r w:rsidR="002C4050" w:rsidRPr="002C4050">
        <w:rPr>
          <w:rFonts w:cs="Arial"/>
          <w:lang w:val="en-GB"/>
        </w:rPr>
        <w:t xml:space="preserve"> prevented damaging proposals on cyber security, including for the ITU to develop a database of mobile devices, to develop new international legal frameworks, to study AI and to expand the mandate of the ITU into areas of law enforcement and national security. We made modest improvements to the cyber security resolutions, for example promoting the involvement of experts and industry in ITU's work, risk-based and people-centric </w:t>
      </w:r>
      <w:proofErr w:type="gramStart"/>
      <w:r w:rsidR="002C4050" w:rsidRPr="002C4050">
        <w:rPr>
          <w:rFonts w:cs="Arial"/>
          <w:lang w:val="en-GB"/>
        </w:rPr>
        <w:t>approaches</w:t>
      </w:r>
      <w:proofErr w:type="gramEnd"/>
      <w:r w:rsidR="002C4050" w:rsidRPr="002C4050">
        <w:rPr>
          <w:rFonts w:cs="Arial"/>
          <w:lang w:val="en-GB"/>
        </w:rPr>
        <w:t xml:space="preserve"> and collaboration with stakeholders.</w:t>
      </w:r>
    </w:p>
    <w:p w14:paraId="1B9CB697" w14:textId="4F8B6D66" w:rsidR="000C6AEA" w:rsidRPr="00053980" w:rsidRDefault="000C6AEA" w:rsidP="000C6AEA">
      <w:pPr>
        <w:rPr>
          <w:rFonts w:cs="Arial"/>
          <w:lang w:val="en-GB"/>
        </w:rPr>
      </w:pPr>
      <w:r w:rsidRPr="002C4050">
        <w:rPr>
          <w:rFonts w:cs="Arial"/>
          <w:b/>
          <w:lang w:val="en-GB"/>
        </w:rPr>
        <w:t xml:space="preserve">ECP 7 </w:t>
      </w:r>
      <w:r w:rsidRPr="002C4050">
        <w:rPr>
          <w:rFonts w:cs="Arial"/>
          <w:lang w:val="en-GB"/>
        </w:rPr>
        <w:t>Resolution 48 - Internationalised Domain Names</w:t>
      </w:r>
      <w:r w:rsidR="00CD646D">
        <w:rPr>
          <w:rFonts w:cs="Arial"/>
          <w:lang w:val="en-GB"/>
        </w:rPr>
        <w:t xml:space="preserve"> (OK – streamlining resolutions)</w:t>
      </w:r>
    </w:p>
    <w:p w14:paraId="413D9DB2" w14:textId="6E295CE1" w:rsidR="000C6AEA" w:rsidRPr="00053980" w:rsidRDefault="000C6AEA" w:rsidP="000C6AEA">
      <w:pPr>
        <w:rPr>
          <w:rFonts w:cs="Arial"/>
          <w:lang w:val="en-GB"/>
        </w:rPr>
      </w:pPr>
      <w:r w:rsidRPr="002C4050">
        <w:rPr>
          <w:rFonts w:cs="Arial"/>
          <w:b/>
          <w:lang w:val="en-GB"/>
        </w:rPr>
        <w:t xml:space="preserve">ECP 8 </w:t>
      </w:r>
      <w:r w:rsidRPr="002C4050">
        <w:rPr>
          <w:rFonts w:cs="Arial"/>
          <w:lang w:val="en-GB"/>
        </w:rPr>
        <w:t>Resolution 43 - Regional Preparation for WTSAs</w:t>
      </w:r>
      <w:r w:rsidR="00CD646D">
        <w:rPr>
          <w:rFonts w:cs="Arial"/>
          <w:lang w:val="en-GB"/>
        </w:rPr>
        <w:t xml:space="preserve"> (OK)</w:t>
      </w:r>
    </w:p>
    <w:p w14:paraId="47CCC8F9" w14:textId="5AF6046D" w:rsidR="000C6AEA" w:rsidRPr="00053980" w:rsidRDefault="000C6AEA" w:rsidP="000C6AEA">
      <w:pPr>
        <w:rPr>
          <w:rFonts w:cs="Arial"/>
          <w:lang w:val="en-GB"/>
        </w:rPr>
      </w:pPr>
      <w:r w:rsidRPr="002C4050">
        <w:rPr>
          <w:rFonts w:cs="Arial"/>
          <w:b/>
          <w:lang w:val="en-GB"/>
        </w:rPr>
        <w:t xml:space="preserve">ECP 9 </w:t>
      </w:r>
      <w:r w:rsidRPr="002C4050">
        <w:rPr>
          <w:rFonts w:cs="Arial"/>
          <w:lang w:val="en-GB"/>
        </w:rPr>
        <w:t>Resolution 67 - Languages of the Union</w:t>
      </w:r>
      <w:r w:rsidR="00CD646D">
        <w:rPr>
          <w:rFonts w:cs="Arial"/>
          <w:lang w:val="en-GB"/>
        </w:rPr>
        <w:t xml:space="preserve"> (OK – streamlining resolutions)</w:t>
      </w:r>
    </w:p>
    <w:p w14:paraId="3B480337" w14:textId="586F6F29" w:rsidR="000C6AEA" w:rsidRPr="00053980" w:rsidRDefault="000C6AEA" w:rsidP="000C6AEA">
      <w:pPr>
        <w:rPr>
          <w:rFonts w:cs="Arial"/>
          <w:lang w:val="en-GB"/>
        </w:rPr>
      </w:pPr>
      <w:r w:rsidRPr="002C4050">
        <w:rPr>
          <w:rFonts w:cs="Arial"/>
          <w:b/>
          <w:lang w:val="en-GB"/>
        </w:rPr>
        <w:t xml:space="preserve">ECP 10 </w:t>
      </w:r>
      <w:r w:rsidRPr="002C4050">
        <w:rPr>
          <w:rFonts w:cs="Arial"/>
          <w:lang w:val="en-GB"/>
        </w:rPr>
        <w:t>Resolution 72 - Exposure to electromagnetic fields</w:t>
      </w:r>
      <w:r w:rsidR="00CD646D">
        <w:rPr>
          <w:rFonts w:cs="Arial"/>
          <w:lang w:val="en-GB"/>
        </w:rPr>
        <w:t xml:space="preserve"> (OK – streamlining resolutions, amendment of mandate of SG05)</w:t>
      </w:r>
    </w:p>
    <w:p w14:paraId="1EA4AF2E" w14:textId="2146FE6A" w:rsidR="000C6AEA" w:rsidRPr="002C4050" w:rsidRDefault="000C6AEA" w:rsidP="000C6AEA">
      <w:pPr>
        <w:rPr>
          <w:rFonts w:cs="Arial"/>
          <w:b/>
          <w:lang w:val="en-GB"/>
        </w:rPr>
      </w:pPr>
      <w:r w:rsidRPr="002C4050">
        <w:rPr>
          <w:rFonts w:cs="Arial"/>
          <w:b/>
          <w:lang w:val="en-GB"/>
        </w:rPr>
        <w:t xml:space="preserve">ECP 11 </w:t>
      </w:r>
      <w:r w:rsidRPr="002C4050">
        <w:rPr>
          <w:rFonts w:cs="Arial"/>
          <w:lang w:val="en-GB"/>
        </w:rPr>
        <w:t>Resolution 64 - Internet protocol address allocation and facilitating IPv6</w:t>
      </w:r>
      <w:r w:rsidR="00CD646D">
        <w:rPr>
          <w:rFonts w:cs="Arial"/>
          <w:lang w:val="en-GB"/>
        </w:rPr>
        <w:t xml:space="preserve"> (OK – streamlining resolutions)</w:t>
      </w:r>
    </w:p>
    <w:p w14:paraId="00347B3F" w14:textId="4200838E" w:rsidR="000C6AEA" w:rsidRPr="00053980" w:rsidRDefault="000C6AEA" w:rsidP="000C6AEA">
      <w:pPr>
        <w:rPr>
          <w:rFonts w:cs="Arial"/>
          <w:lang w:val="en-GB"/>
        </w:rPr>
      </w:pPr>
      <w:r w:rsidRPr="002C4050">
        <w:rPr>
          <w:rFonts w:cs="Arial"/>
          <w:b/>
          <w:lang w:val="en-GB"/>
        </w:rPr>
        <w:t xml:space="preserve">ECP 12 </w:t>
      </w:r>
      <w:r w:rsidRPr="002C4050">
        <w:rPr>
          <w:rFonts w:cs="Arial"/>
          <w:lang w:val="en-GB"/>
        </w:rPr>
        <w:t>Resolution 52 - Countering and combatting spam</w:t>
      </w:r>
      <w:r w:rsidR="005C16CA">
        <w:rPr>
          <w:rFonts w:cs="Arial"/>
          <w:lang w:val="en-GB"/>
        </w:rPr>
        <w:t xml:space="preserve"> (OK)</w:t>
      </w:r>
    </w:p>
    <w:p w14:paraId="2AE9AF07" w14:textId="77777777" w:rsidR="002C4050" w:rsidRPr="002C4050" w:rsidRDefault="002C4050" w:rsidP="002C4050">
      <w:pPr>
        <w:rPr>
          <w:rFonts w:cs="Arial"/>
          <w:b/>
          <w:lang w:val="en-GB"/>
        </w:rPr>
      </w:pPr>
      <w:r w:rsidRPr="002C4050">
        <w:rPr>
          <w:rFonts w:cs="Arial"/>
          <w:b/>
          <w:lang w:val="en-GB"/>
        </w:rPr>
        <w:t xml:space="preserve">ECP 13 </w:t>
      </w:r>
      <w:r w:rsidRPr="002C4050">
        <w:rPr>
          <w:rFonts w:cs="Arial"/>
          <w:lang w:val="en-GB"/>
        </w:rPr>
        <w:t xml:space="preserve">Resolution 54 – Creation of and assistance to regional groups (title changed to ‘Regional Groups of study groups of ITU Standardisation Sector’.  </w:t>
      </w:r>
    </w:p>
    <w:p w14:paraId="1D381A98" w14:textId="60BCA574" w:rsidR="000C6AEA" w:rsidRPr="002C4050" w:rsidRDefault="002C4050" w:rsidP="000C6AEA">
      <w:pPr>
        <w:rPr>
          <w:rFonts w:cs="Arial"/>
          <w:b/>
          <w:lang w:val="en-GB"/>
        </w:rPr>
      </w:pPr>
      <w:r w:rsidRPr="002C4050">
        <w:rPr>
          <w:lang w:val="en-GB"/>
        </w:rPr>
        <w:t>The proposals in the ECP to modify the pre-existing text of Res</w:t>
      </w:r>
      <w:r w:rsidR="00071CAB">
        <w:rPr>
          <w:lang w:val="en-GB"/>
        </w:rPr>
        <w:t>olution</w:t>
      </w:r>
      <w:r w:rsidRPr="002C4050">
        <w:rPr>
          <w:lang w:val="en-GB"/>
        </w:rPr>
        <w:t xml:space="preserve"> 54 were broadly agreed, including the change in title. However, text was transferred from Resolution 1 which denied Members outside a region the right to attend meeting in another region. This was contrary to the provisions of the CS/CV as had been made clear by ITU Legal Counsel. Despite CEPT arguing that the imported text should be consistent with the CS/CV, opposition for changes to it were resisted by three other regions. Given the political sensitivit</w:t>
      </w:r>
      <w:r w:rsidR="00071CAB">
        <w:rPr>
          <w:lang w:val="en-GB"/>
        </w:rPr>
        <w:t>i</w:t>
      </w:r>
      <w:r w:rsidRPr="002C4050">
        <w:rPr>
          <w:lang w:val="en-GB"/>
        </w:rPr>
        <w:t xml:space="preserve">es and the fact that there is to be another WTSA in two </w:t>
      </w:r>
      <w:r w:rsidR="00071CAB" w:rsidRPr="002C4050">
        <w:rPr>
          <w:lang w:val="en-GB"/>
        </w:rPr>
        <w:t>years’ time</w:t>
      </w:r>
      <w:r w:rsidRPr="002C4050">
        <w:rPr>
          <w:lang w:val="en-GB"/>
        </w:rPr>
        <w:t xml:space="preserve">, CEPT decided not to confront the issue at this WTSA but defer it to be addressed in an ECP to WTSA-24.   </w:t>
      </w:r>
    </w:p>
    <w:p w14:paraId="267D6175" w14:textId="30F793F2" w:rsidR="000C6AEA" w:rsidRPr="00053980" w:rsidRDefault="000C6AEA" w:rsidP="000C6AEA">
      <w:pPr>
        <w:rPr>
          <w:rFonts w:cs="Arial"/>
          <w:lang w:val="en-GB"/>
        </w:rPr>
      </w:pPr>
      <w:r w:rsidRPr="002C4050">
        <w:rPr>
          <w:rFonts w:cs="Arial"/>
          <w:b/>
          <w:lang w:val="en-GB"/>
        </w:rPr>
        <w:t xml:space="preserve">ECP 15 </w:t>
      </w:r>
      <w:r w:rsidRPr="002C4050">
        <w:rPr>
          <w:rFonts w:cs="Arial"/>
          <w:lang w:val="en-GB"/>
        </w:rPr>
        <w:t>A-series Rec A.2 - Presentation of contributions to the ITU-T Sector</w:t>
      </w:r>
      <w:r w:rsidR="005C16CA">
        <w:rPr>
          <w:rFonts w:cs="Arial"/>
          <w:lang w:val="en-GB"/>
        </w:rPr>
        <w:t xml:space="preserve"> (No change accepted by assembly)</w:t>
      </w:r>
    </w:p>
    <w:p w14:paraId="694BAAEA" w14:textId="3C4A7510" w:rsidR="000C6AEA" w:rsidRPr="00053980" w:rsidRDefault="000C6AEA" w:rsidP="000C6AEA">
      <w:pPr>
        <w:rPr>
          <w:rFonts w:cs="Arial"/>
          <w:lang w:val="en-GB"/>
        </w:rPr>
      </w:pPr>
      <w:r w:rsidRPr="002C4050">
        <w:rPr>
          <w:rFonts w:cs="Arial"/>
          <w:b/>
          <w:lang w:val="en-GB"/>
        </w:rPr>
        <w:t xml:space="preserve">ECP 16 </w:t>
      </w:r>
      <w:r w:rsidRPr="002C4050">
        <w:rPr>
          <w:rFonts w:cs="Arial"/>
          <w:lang w:val="en-GB"/>
        </w:rPr>
        <w:t>A-series Rec A.8 - AAP for new and revised ITU-T Recs</w:t>
      </w:r>
      <w:r w:rsidR="005C16CA">
        <w:rPr>
          <w:rFonts w:cs="Arial"/>
          <w:lang w:val="en-GB"/>
        </w:rPr>
        <w:t xml:space="preserve"> (OK)</w:t>
      </w:r>
    </w:p>
    <w:p w14:paraId="6B9875C6" w14:textId="73F70894" w:rsidR="000C6AEA" w:rsidRPr="00053980" w:rsidRDefault="000C6AEA" w:rsidP="000C6AEA">
      <w:pPr>
        <w:rPr>
          <w:rFonts w:cs="Arial"/>
          <w:lang w:val="en-GB"/>
        </w:rPr>
      </w:pPr>
      <w:r w:rsidRPr="002C4050">
        <w:rPr>
          <w:rFonts w:cs="Arial"/>
          <w:b/>
          <w:lang w:val="en-GB"/>
        </w:rPr>
        <w:t xml:space="preserve">ECP 17 </w:t>
      </w:r>
      <w:r w:rsidRPr="002C4050">
        <w:rPr>
          <w:rFonts w:cs="Arial"/>
          <w:lang w:val="en-GB"/>
        </w:rPr>
        <w:t>Recommendation A.1 - Working methods for SGs of ITU-T standardization sector</w:t>
      </w:r>
      <w:r w:rsidR="005C16CA">
        <w:rPr>
          <w:rFonts w:cs="Arial"/>
          <w:lang w:val="en-GB"/>
        </w:rPr>
        <w:t xml:space="preserve"> (No change accepted by assembly)</w:t>
      </w:r>
    </w:p>
    <w:p w14:paraId="30FD67D9" w14:textId="4E09A05F" w:rsidR="000C6AEA" w:rsidRPr="002C4050" w:rsidRDefault="000C6AEA" w:rsidP="000C6AEA">
      <w:pPr>
        <w:rPr>
          <w:rFonts w:cs="Arial"/>
          <w:b/>
          <w:lang w:val="en-GB"/>
        </w:rPr>
      </w:pPr>
      <w:r w:rsidRPr="002C4050">
        <w:rPr>
          <w:rFonts w:cs="Arial"/>
          <w:b/>
          <w:lang w:val="en-GB"/>
        </w:rPr>
        <w:t xml:space="preserve">ECP 18 </w:t>
      </w:r>
      <w:r w:rsidRPr="002C4050">
        <w:rPr>
          <w:rFonts w:cs="Arial"/>
          <w:lang w:val="en-GB"/>
        </w:rPr>
        <w:t>Recommendation A.5 - Generic procedures for including references to documents of other organizations in ITU T Recommendations</w:t>
      </w:r>
      <w:r w:rsidR="005C16CA">
        <w:rPr>
          <w:rFonts w:cs="Arial"/>
          <w:lang w:val="en-GB"/>
        </w:rPr>
        <w:t xml:space="preserve"> (OK)</w:t>
      </w:r>
    </w:p>
    <w:p w14:paraId="5A370643" w14:textId="447FC1E3" w:rsidR="000C6AEA" w:rsidRPr="00053980" w:rsidRDefault="000C6AEA" w:rsidP="000C6AEA">
      <w:pPr>
        <w:rPr>
          <w:rFonts w:cs="Arial"/>
          <w:lang w:val="en-GB"/>
        </w:rPr>
      </w:pPr>
      <w:r w:rsidRPr="002C4050">
        <w:rPr>
          <w:rFonts w:cs="Arial"/>
          <w:b/>
          <w:lang w:val="en-GB"/>
        </w:rPr>
        <w:t xml:space="preserve">ECP 19 </w:t>
      </w:r>
      <w:r w:rsidRPr="002C4050">
        <w:rPr>
          <w:rFonts w:cs="Arial"/>
          <w:lang w:val="en-GB"/>
        </w:rPr>
        <w:t>Recommendation A.7 - Focus Groups: Establishment and Working Procedures</w:t>
      </w:r>
      <w:r w:rsidR="005C16CA">
        <w:rPr>
          <w:rFonts w:cs="Arial"/>
          <w:lang w:val="en-GB"/>
        </w:rPr>
        <w:t xml:space="preserve"> (No change accepted by assembly)</w:t>
      </w:r>
    </w:p>
    <w:p w14:paraId="6A4FAD3A" w14:textId="37A9443B" w:rsidR="000C6AEA" w:rsidRPr="00053980" w:rsidRDefault="000C6AEA" w:rsidP="000C6AEA">
      <w:pPr>
        <w:rPr>
          <w:rFonts w:ascii="Verdana" w:hAnsi="Verdana"/>
          <w:sz w:val="24"/>
          <w:lang w:val="en-GB"/>
        </w:rPr>
      </w:pPr>
      <w:r w:rsidRPr="002C4050">
        <w:rPr>
          <w:rFonts w:cs="Arial"/>
          <w:b/>
          <w:lang w:val="en-GB"/>
        </w:rPr>
        <w:t xml:space="preserve">ECP 20 (rev1) </w:t>
      </w:r>
      <w:r w:rsidRPr="002C4050">
        <w:rPr>
          <w:rFonts w:cs="Arial"/>
          <w:lang w:val="en-GB"/>
        </w:rPr>
        <w:t>Resolution 1 - Rules of procedure of the ITU Telecommunication Standardization Sector</w:t>
      </w:r>
      <w:r w:rsidR="00E155A9">
        <w:rPr>
          <w:rFonts w:cs="Arial"/>
          <w:lang w:val="en-GB"/>
        </w:rPr>
        <w:t xml:space="preserve"> (OK – </w:t>
      </w:r>
      <w:r w:rsidR="00053980" w:rsidRPr="002C4050">
        <w:rPr>
          <w:rFonts w:cs="Arial"/>
          <w:lang w:val="en-GB"/>
        </w:rPr>
        <w:t xml:space="preserve">This resolution was revised with </w:t>
      </w:r>
      <w:proofErr w:type="gramStart"/>
      <w:r w:rsidR="00053980" w:rsidRPr="002C4050">
        <w:rPr>
          <w:rFonts w:cs="Arial"/>
          <w:lang w:val="en-GB"/>
        </w:rPr>
        <w:t>a number of</w:t>
      </w:r>
      <w:proofErr w:type="gramEnd"/>
      <w:r w:rsidR="00053980" w:rsidRPr="002C4050">
        <w:rPr>
          <w:rFonts w:cs="Arial"/>
          <w:lang w:val="en-GB"/>
        </w:rPr>
        <w:t xml:space="preserve"> issues raised in the ECP reflected in the final text.</w:t>
      </w:r>
      <w:r w:rsidR="00E155A9">
        <w:rPr>
          <w:rFonts w:cs="Arial"/>
          <w:lang w:val="en-GB"/>
        </w:rPr>
        <w:t>)</w:t>
      </w:r>
    </w:p>
    <w:p w14:paraId="54F02A3F" w14:textId="22383888" w:rsidR="000C6AEA" w:rsidRPr="002C4050" w:rsidRDefault="000C6AEA" w:rsidP="000C6AEA">
      <w:pPr>
        <w:rPr>
          <w:rFonts w:cs="Arial"/>
          <w:b/>
          <w:lang w:val="en-GB"/>
        </w:rPr>
      </w:pPr>
      <w:r w:rsidRPr="002C4050">
        <w:rPr>
          <w:rFonts w:cs="Arial"/>
          <w:b/>
          <w:lang w:val="en-GB"/>
        </w:rPr>
        <w:lastRenderedPageBreak/>
        <w:t xml:space="preserve">ECP 21 </w:t>
      </w:r>
      <w:r w:rsidRPr="002C4050">
        <w:rPr>
          <w:rFonts w:cs="Arial"/>
          <w:lang w:val="en-GB"/>
        </w:rPr>
        <w:t>Resolution 40 - Regulatory aspects of the work of the ITU Telecommunication Standardization Sector</w:t>
      </w:r>
      <w:r w:rsidR="00E155A9">
        <w:rPr>
          <w:rFonts w:cs="Arial"/>
          <w:lang w:val="en-GB"/>
        </w:rPr>
        <w:t xml:space="preserve"> (OK)</w:t>
      </w:r>
    </w:p>
    <w:p w14:paraId="1C947F25" w14:textId="175FDC9D" w:rsidR="000C6AEA" w:rsidRPr="00053980" w:rsidRDefault="000C6AEA" w:rsidP="000C6AEA">
      <w:pPr>
        <w:rPr>
          <w:rFonts w:cs="Arial"/>
          <w:lang w:val="en-GB"/>
        </w:rPr>
      </w:pPr>
      <w:r w:rsidRPr="002C4050">
        <w:rPr>
          <w:rFonts w:cs="Arial"/>
          <w:b/>
          <w:lang w:val="en-GB"/>
        </w:rPr>
        <w:t xml:space="preserve">ECP 22 </w:t>
      </w:r>
      <w:r w:rsidRPr="002C4050">
        <w:rPr>
          <w:rFonts w:cs="Arial"/>
          <w:lang w:val="en-GB"/>
        </w:rPr>
        <w:t>Resolution 60 - Responding to the challenges of the evolution of the identification/numbering system and its convergence with emerging telecommunications/ICTs and services</w:t>
      </w:r>
      <w:r w:rsidR="00E155A9">
        <w:rPr>
          <w:rFonts w:cs="Arial"/>
          <w:lang w:val="en-GB"/>
        </w:rPr>
        <w:t xml:space="preserve"> (OK)</w:t>
      </w:r>
    </w:p>
    <w:p w14:paraId="52FB0B0D" w14:textId="48768E8A" w:rsidR="000C6AEA" w:rsidRPr="002C4050" w:rsidRDefault="000C6AEA" w:rsidP="000C6AEA">
      <w:pPr>
        <w:rPr>
          <w:rFonts w:cs="Arial"/>
          <w:b/>
          <w:lang w:val="en-GB"/>
        </w:rPr>
      </w:pPr>
      <w:r w:rsidRPr="002C4050">
        <w:rPr>
          <w:rFonts w:cs="Arial"/>
          <w:b/>
          <w:lang w:val="en-GB"/>
        </w:rPr>
        <w:t>ECP 23</w:t>
      </w:r>
      <w:r w:rsidR="005C16CA" w:rsidRPr="002C4050">
        <w:rPr>
          <w:rFonts w:cs="Arial"/>
          <w:b/>
          <w:lang w:val="en-GB"/>
        </w:rPr>
        <w:t xml:space="preserve"> </w:t>
      </w:r>
      <w:r w:rsidRPr="002C4050">
        <w:rPr>
          <w:rFonts w:cs="Arial"/>
          <w:lang w:val="en-GB"/>
        </w:rPr>
        <w:t>Resolution 91 - Enhancing access to an electronic repository of information on numbering plans published by the ITU Telecommunication Standardization Sector</w:t>
      </w:r>
      <w:r w:rsidR="00E155A9">
        <w:rPr>
          <w:rFonts w:cs="Arial"/>
          <w:lang w:val="en-GB"/>
        </w:rPr>
        <w:t xml:space="preserve"> (OK)</w:t>
      </w:r>
    </w:p>
    <w:p w14:paraId="2EB080D3" w14:textId="228ACD66" w:rsidR="000C6AEA" w:rsidRPr="00053980" w:rsidRDefault="000C6AEA" w:rsidP="000C6AEA">
      <w:pPr>
        <w:rPr>
          <w:rFonts w:cs="Arial"/>
          <w:lang w:val="en-GB"/>
        </w:rPr>
      </w:pPr>
      <w:r w:rsidRPr="002C4050">
        <w:rPr>
          <w:rFonts w:cs="Arial"/>
          <w:b/>
          <w:lang w:val="en-GB"/>
        </w:rPr>
        <w:t xml:space="preserve">ECP 24 </w:t>
      </w:r>
      <w:r w:rsidRPr="002C4050">
        <w:rPr>
          <w:rFonts w:cs="Arial"/>
          <w:lang w:val="en-GB"/>
        </w:rPr>
        <w:t>Resolution 20 - Procedures for allocation and management of international telecommunication numbering, naming, addressing and identification resources</w:t>
      </w:r>
      <w:r w:rsidR="00E155A9">
        <w:rPr>
          <w:rFonts w:cs="Arial"/>
          <w:lang w:val="en-GB"/>
        </w:rPr>
        <w:t xml:space="preserve"> (OK)</w:t>
      </w:r>
    </w:p>
    <w:p w14:paraId="714D4074" w14:textId="02F7837D" w:rsidR="000C6AEA" w:rsidRPr="002C4050" w:rsidRDefault="000C6AEA" w:rsidP="000C6AEA">
      <w:pPr>
        <w:rPr>
          <w:rFonts w:cs="Arial"/>
          <w:lang w:val="en-GB"/>
        </w:rPr>
      </w:pPr>
      <w:r w:rsidRPr="002C4050">
        <w:rPr>
          <w:rFonts w:cs="Arial"/>
          <w:b/>
          <w:lang w:val="en-GB"/>
        </w:rPr>
        <w:t xml:space="preserve">ECP 25 </w:t>
      </w:r>
      <w:r w:rsidRPr="002C4050">
        <w:rPr>
          <w:rFonts w:cs="Arial"/>
          <w:lang w:val="en-GB"/>
        </w:rPr>
        <w:t>Proposed new WTSA Resolution on the Importance of Industry Engagement in the Work of ITU-T</w:t>
      </w:r>
    </w:p>
    <w:p w14:paraId="3BAE8AE4" w14:textId="466F0B0D" w:rsidR="000C6AEA" w:rsidRPr="00053980" w:rsidRDefault="002C4050" w:rsidP="000C6AEA">
      <w:pPr>
        <w:rPr>
          <w:rFonts w:cs="Arial"/>
          <w:lang w:val="en-GB"/>
        </w:rPr>
      </w:pPr>
      <w:r w:rsidRPr="002C4050">
        <w:rPr>
          <w:rFonts w:cs="Arial"/>
          <w:lang w:val="en-GB"/>
        </w:rPr>
        <w:t>ECP-1 from CEPT and the IAP-2 from CITEL were to replace the existing Resolution 68.  An ad hoc group discussion produced a merged proposal of a draft new Resolution. No final text agreed due to the opposition of SAU, RUS and ALG despite the advocacy of CAN, DEU, USA and especially the sector member Broadcom. Plenary is requested to consider draft revised Resolution 68 as found in Document 99R1. TSAG is tasked to consider the issue of industry engagement in Nov 2022.</w:t>
      </w:r>
    </w:p>
    <w:p w14:paraId="40298E74" w14:textId="37306DD8" w:rsidR="000C6AEA" w:rsidRPr="00053980" w:rsidRDefault="000C6AEA" w:rsidP="000C6AEA">
      <w:pPr>
        <w:rPr>
          <w:rFonts w:cs="Arial"/>
          <w:lang w:val="en-GB"/>
        </w:rPr>
      </w:pPr>
      <w:r w:rsidRPr="002C4050">
        <w:rPr>
          <w:rFonts w:cs="Arial"/>
          <w:b/>
          <w:lang w:val="en-GB"/>
        </w:rPr>
        <w:t xml:space="preserve">ECP 26 </w:t>
      </w:r>
      <w:r w:rsidRPr="002C4050">
        <w:rPr>
          <w:rFonts w:cs="Arial"/>
          <w:lang w:val="en-GB"/>
        </w:rPr>
        <w:t>Proposed new WTSA Resolution on SMART Submarine Cable Systems</w:t>
      </w:r>
      <w:r w:rsidR="00E155A9">
        <w:rPr>
          <w:rFonts w:cs="Arial"/>
          <w:lang w:val="en-GB"/>
        </w:rPr>
        <w:t xml:space="preserve"> (Proposal not</w:t>
      </w:r>
      <w:r w:rsidR="00E155A9" w:rsidRPr="00E155A9">
        <w:rPr>
          <w:rFonts w:cs="Arial"/>
          <w:lang w:val="en-GB"/>
        </w:rPr>
        <w:t xml:space="preserve"> accepted by assembly</w:t>
      </w:r>
      <w:r w:rsidR="00E155A9">
        <w:rPr>
          <w:rFonts w:cs="Arial"/>
          <w:lang w:val="en-GB"/>
        </w:rPr>
        <w:t>, to be discussed in TSAG</w:t>
      </w:r>
      <w:r w:rsidR="00E155A9" w:rsidRPr="00E155A9">
        <w:rPr>
          <w:rFonts w:cs="Arial"/>
          <w:lang w:val="en-GB"/>
        </w:rPr>
        <w:t>)</w:t>
      </w:r>
    </w:p>
    <w:p w14:paraId="34FB80F8" w14:textId="48C52915" w:rsidR="000C6AEA" w:rsidRPr="00053980" w:rsidRDefault="000C6AEA" w:rsidP="000C6AEA">
      <w:pPr>
        <w:rPr>
          <w:rFonts w:cs="Arial"/>
          <w:lang w:val="en-GB"/>
        </w:rPr>
      </w:pPr>
      <w:r w:rsidRPr="002C4050">
        <w:rPr>
          <w:rFonts w:cs="Arial"/>
          <w:b/>
          <w:lang w:val="en-GB"/>
        </w:rPr>
        <w:t xml:space="preserve">ECP 27 </w:t>
      </w:r>
      <w:r w:rsidRPr="002C4050">
        <w:rPr>
          <w:rFonts w:cs="Arial"/>
          <w:lang w:val="en-GB"/>
        </w:rPr>
        <w:t>Resolution 29 - Alternative calling procedures on international telecommunication networks</w:t>
      </w:r>
      <w:r w:rsidR="0023370E">
        <w:rPr>
          <w:rFonts w:cs="Arial"/>
          <w:lang w:val="en-GB"/>
        </w:rPr>
        <w:t xml:space="preserve"> (OK)</w:t>
      </w:r>
    </w:p>
    <w:p w14:paraId="65881848" w14:textId="5ECA3C5C" w:rsidR="000C6AEA" w:rsidRPr="00053980" w:rsidRDefault="000C6AEA" w:rsidP="000C6AEA">
      <w:pPr>
        <w:rPr>
          <w:rFonts w:cs="Arial"/>
          <w:lang w:val="en-GB"/>
        </w:rPr>
      </w:pPr>
      <w:r w:rsidRPr="002C4050">
        <w:rPr>
          <w:rFonts w:cs="Arial"/>
          <w:b/>
          <w:lang w:val="en-GB"/>
        </w:rPr>
        <w:t xml:space="preserve">ECP 28 </w:t>
      </w:r>
      <w:r w:rsidRPr="002C4050">
        <w:rPr>
          <w:rFonts w:cs="Arial"/>
          <w:lang w:val="en-GB"/>
        </w:rPr>
        <w:t>Resolution 61 - Countering and combating misappropriation and misuse of international telecommunication numbering resources</w:t>
      </w:r>
      <w:r w:rsidR="0023370E">
        <w:rPr>
          <w:rFonts w:cs="Arial"/>
          <w:lang w:val="en-GB"/>
        </w:rPr>
        <w:t xml:space="preserve"> (OK)</w:t>
      </w:r>
    </w:p>
    <w:p w14:paraId="403B21A1" w14:textId="002D9A0F" w:rsidR="000C6AEA" w:rsidRPr="00053980" w:rsidRDefault="000C6AEA" w:rsidP="000C6AEA">
      <w:pPr>
        <w:rPr>
          <w:rFonts w:cs="Arial"/>
          <w:lang w:val="en-GB"/>
        </w:rPr>
      </w:pPr>
      <w:r w:rsidRPr="002C4050">
        <w:rPr>
          <w:rFonts w:cs="Arial"/>
          <w:b/>
          <w:lang w:val="en-GB"/>
        </w:rPr>
        <w:t xml:space="preserve">ECP 29 </w:t>
      </w:r>
      <w:r w:rsidRPr="002C4050">
        <w:rPr>
          <w:rFonts w:cs="Arial"/>
          <w:lang w:val="en-GB"/>
        </w:rPr>
        <w:t>Resolution 65 - Calling party number delivery, calling line identification and origin identification information</w:t>
      </w:r>
      <w:r w:rsidR="0023370E">
        <w:rPr>
          <w:rFonts w:cs="Arial"/>
          <w:lang w:val="en-GB"/>
        </w:rPr>
        <w:t xml:space="preserve"> (OK)</w:t>
      </w:r>
    </w:p>
    <w:p w14:paraId="4F852877" w14:textId="77777777" w:rsidR="005A71DC" w:rsidRDefault="000C6AEA" w:rsidP="000C6AEA">
      <w:pPr>
        <w:rPr>
          <w:rFonts w:cs="Arial"/>
          <w:lang w:val="en-GB"/>
        </w:rPr>
      </w:pPr>
      <w:r w:rsidRPr="002C4050">
        <w:rPr>
          <w:rFonts w:cs="Arial"/>
          <w:b/>
          <w:lang w:val="en-GB"/>
        </w:rPr>
        <w:t xml:space="preserve">ECP 30 </w:t>
      </w:r>
      <w:r w:rsidRPr="002C4050">
        <w:rPr>
          <w:rFonts w:cs="Arial"/>
          <w:lang w:val="en-GB"/>
        </w:rPr>
        <w:t>Resolution 2 - ITU Telecommunication Standardization Sector study group responsibility and mandates</w:t>
      </w:r>
    </w:p>
    <w:p w14:paraId="5446887B" w14:textId="12EB057D" w:rsidR="000C6AEA" w:rsidRPr="00A658F1" w:rsidRDefault="0023370E" w:rsidP="000C6AEA">
      <w:pPr>
        <w:rPr>
          <w:rFonts w:cs="Arial"/>
          <w:lang w:val="en-GB"/>
        </w:rPr>
      </w:pPr>
      <w:r w:rsidRPr="002C4050">
        <w:rPr>
          <w:rFonts w:cs="Arial"/>
          <w:lang w:val="en-GB"/>
        </w:rPr>
        <w:t>The COM-ITU position was NOC. This was reflected in that no regional revised text was agreed. The only updated text to this resolution came from each of the respective study groups' preparatory processes.</w:t>
      </w:r>
    </w:p>
    <w:p w14:paraId="3B69A172" w14:textId="761BC852" w:rsidR="000C6AEA" w:rsidRPr="00053980" w:rsidRDefault="000C6AEA" w:rsidP="000C6AEA">
      <w:pPr>
        <w:rPr>
          <w:rFonts w:cs="Arial"/>
          <w:lang w:val="en-GB"/>
        </w:rPr>
      </w:pPr>
      <w:r w:rsidRPr="002C4050">
        <w:rPr>
          <w:rFonts w:cs="Arial"/>
          <w:b/>
          <w:lang w:val="en-GB"/>
        </w:rPr>
        <w:t xml:space="preserve">ECP 31 </w:t>
      </w:r>
      <w:r w:rsidRPr="002C4050">
        <w:rPr>
          <w:rFonts w:cs="Arial"/>
          <w:lang w:val="en-GB"/>
        </w:rPr>
        <w:t xml:space="preserve">Resolution 98 (Rev. </w:t>
      </w:r>
      <w:proofErr w:type="spellStart"/>
      <w:r w:rsidRPr="002C4050">
        <w:rPr>
          <w:rFonts w:cs="Arial"/>
          <w:lang w:val="en-GB"/>
        </w:rPr>
        <w:t>Hammamet</w:t>
      </w:r>
      <w:proofErr w:type="spellEnd"/>
      <w:r w:rsidRPr="002C4050">
        <w:rPr>
          <w:rFonts w:cs="Arial"/>
          <w:lang w:val="en-GB"/>
        </w:rPr>
        <w:t>, 2016) - Enhancing the standardization of Internet of things and smart cities and communities for global development</w:t>
      </w:r>
      <w:r w:rsidR="00626067">
        <w:rPr>
          <w:rFonts w:cs="Arial"/>
          <w:lang w:val="en-GB"/>
        </w:rPr>
        <w:t xml:space="preserve"> (OK)</w:t>
      </w:r>
    </w:p>
    <w:p w14:paraId="4622743E" w14:textId="0A139466" w:rsidR="000C6AEA" w:rsidRPr="00053980" w:rsidRDefault="000C6AEA" w:rsidP="000C6AEA">
      <w:pPr>
        <w:rPr>
          <w:rFonts w:cs="Arial"/>
          <w:lang w:val="en-GB"/>
        </w:rPr>
      </w:pPr>
      <w:r w:rsidRPr="002C4050">
        <w:rPr>
          <w:rFonts w:cs="Arial"/>
          <w:b/>
          <w:lang w:val="en-GB"/>
        </w:rPr>
        <w:t xml:space="preserve">ECP 32 </w:t>
      </w:r>
      <w:r w:rsidRPr="002C4050">
        <w:rPr>
          <w:rFonts w:cs="Arial"/>
          <w:lang w:val="en-GB"/>
        </w:rPr>
        <w:t>Resolution 87 (</w:t>
      </w:r>
      <w:proofErr w:type="spellStart"/>
      <w:r w:rsidRPr="002C4050">
        <w:rPr>
          <w:rFonts w:cs="Arial"/>
          <w:lang w:val="en-GB"/>
        </w:rPr>
        <w:t>Hammamet</w:t>
      </w:r>
      <w:proofErr w:type="spellEnd"/>
      <w:r w:rsidRPr="002C4050">
        <w:rPr>
          <w:rFonts w:cs="Arial"/>
          <w:lang w:val="en-GB"/>
        </w:rPr>
        <w:t>, 2016) - Participation of the ITU Telecommunication Standardization Sector in the periodic review and revision of the International Telecommunication Regulation</w:t>
      </w:r>
      <w:r w:rsidR="00626067">
        <w:rPr>
          <w:rFonts w:cs="Arial"/>
          <w:lang w:val="en-GB"/>
        </w:rPr>
        <w:t xml:space="preserve"> (OK – No change of Resolution)</w:t>
      </w:r>
    </w:p>
    <w:p w14:paraId="24B125BB" w14:textId="744D3A08" w:rsidR="000C6AEA" w:rsidRPr="00053980" w:rsidRDefault="000C6AEA" w:rsidP="000C6AEA">
      <w:pPr>
        <w:rPr>
          <w:rFonts w:cs="Arial"/>
          <w:lang w:val="en-GB"/>
        </w:rPr>
      </w:pPr>
      <w:r w:rsidRPr="002C4050">
        <w:rPr>
          <w:rFonts w:cs="Arial"/>
          <w:b/>
          <w:lang w:val="en-GB"/>
        </w:rPr>
        <w:t xml:space="preserve">ECP 33 </w:t>
      </w:r>
      <w:r w:rsidRPr="002C4050">
        <w:rPr>
          <w:rFonts w:cs="Arial"/>
          <w:lang w:val="en-GB"/>
        </w:rPr>
        <w:t>Resolution 96 - ITU Telecommunication Standardization Sector studies for combating counterfeit telecommunication/information and communication technology devices</w:t>
      </w:r>
      <w:r w:rsidR="00626067">
        <w:rPr>
          <w:rFonts w:cs="Arial"/>
          <w:lang w:val="en-GB"/>
        </w:rPr>
        <w:t xml:space="preserve"> (</w:t>
      </w:r>
      <w:r w:rsidR="00A46850">
        <w:rPr>
          <w:rFonts w:cs="Arial"/>
          <w:lang w:val="en-GB"/>
        </w:rPr>
        <w:t xml:space="preserve">Objection by some CEPT member states to </w:t>
      </w:r>
      <w:r w:rsidR="00A46850" w:rsidRPr="00A46850">
        <w:rPr>
          <w:rFonts w:cs="Arial"/>
          <w:i/>
          <w:lang w:val="en-GB"/>
        </w:rPr>
        <w:t>recognizing further (b) of WTSA Resolution 96.</w:t>
      </w:r>
      <w:r w:rsidR="00A46850">
        <w:rPr>
          <w:rFonts w:cs="Arial"/>
          <w:lang w:val="en-GB"/>
        </w:rPr>
        <w:t xml:space="preserve"> Recommendation ITU-T X.1255 is not based on digital object architecture and we do not support this reference. This should be reflected in the meeting minutes of WTSA-20.</w:t>
      </w:r>
      <w:r w:rsidR="00626067">
        <w:rPr>
          <w:rFonts w:cs="Arial"/>
          <w:lang w:val="en-GB"/>
        </w:rPr>
        <w:t>)</w:t>
      </w:r>
    </w:p>
    <w:p w14:paraId="05D3D217" w14:textId="06017E04" w:rsidR="000C6AEA" w:rsidRPr="00053980" w:rsidRDefault="000C6AEA" w:rsidP="000C6AEA">
      <w:pPr>
        <w:rPr>
          <w:rFonts w:cs="Arial"/>
          <w:lang w:val="en-GB"/>
        </w:rPr>
      </w:pPr>
      <w:r w:rsidRPr="002C4050">
        <w:rPr>
          <w:rFonts w:cs="Arial"/>
          <w:b/>
          <w:lang w:val="en-GB"/>
        </w:rPr>
        <w:t xml:space="preserve">ECP 34 </w:t>
      </w:r>
      <w:r w:rsidRPr="002C4050">
        <w:rPr>
          <w:rFonts w:cs="Arial"/>
          <w:lang w:val="en-GB"/>
        </w:rPr>
        <w:t>Resolution 97 - Combating mobile telecommunication device theft</w:t>
      </w:r>
      <w:r w:rsidR="005F61DE">
        <w:rPr>
          <w:rFonts w:cs="Arial"/>
          <w:lang w:val="en-GB"/>
        </w:rPr>
        <w:t xml:space="preserve"> (OK – streamlining resolution)</w:t>
      </w:r>
    </w:p>
    <w:p w14:paraId="70E3C351" w14:textId="206B3B64" w:rsidR="00FF58B4" w:rsidRPr="002C4050" w:rsidRDefault="000C6AEA" w:rsidP="000C6AEA">
      <w:pPr>
        <w:rPr>
          <w:lang w:val="en-GB"/>
        </w:rPr>
      </w:pPr>
      <w:r w:rsidRPr="002C4050">
        <w:rPr>
          <w:rFonts w:cs="Arial"/>
          <w:b/>
          <w:lang w:val="en-GB"/>
        </w:rPr>
        <w:t xml:space="preserve">ECP 35 </w:t>
      </w:r>
      <w:r w:rsidRPr="002C4050">
        <w:rPr>
          <w:rFonts w:cs="Arial"/>
          <w:lang w:val="en-GB"/>
        </w:rPr>
        <w:t>Proposed new Resolution on Machine Readable Standards</w:t>
      </w:r>
      <w:r w:rsidR="005F61DE">
        <w:rPr>
          <w:rFonts w:cs="Arial"/>
          <w:lang w:val="en-GB"/>
        </w:rPr>
        <w:t xml:space="preserve"> (New resolution proposal not accepted by assembly)</w:t>
      </w:r>
    </w:p>
    <w:sectPr w:rsidR="00FF58B4" w:rsidRPr="002C4050" w:rsidSect="008F677F">
      <w:footerReference w:type="even" r:id="rId9"/>
      <w:footerReference w:type="default" r:id="rId10"/>
      <w:pgSz w:w="11907" w:h="16840" w:code="9"/>
      <w:pgMar w:top="1134" w:right="1275" w:bottom="1134" w:left="1276" w:header="708" w:footer="708"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ACAD" w14:textId="77777777" w:rsidR="00F041CD" w:rsidRDefault="00F041CD">
      <w:r>
        <w:separator/>
      </w:r>
    </w:p>
  </w:endnote>
  <w:endnote w:type="continuationSeparator" w:id="0">
    <w:p w14:paraId="1E8E4FE1" w14:textId="77777777" w:rsidR="00F041CD" w:rsidRDefault="00F0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961E" w14:textId="77777777" w:rsidR="00612A1D" w:rsidRDefault="0003637B">
    <w:pPr>
      <w:framePr w:wrap="around" w:vAnchor="text" w:hAnchor="margin" w:xAlign="center" w:y="1"/>
      <w:rPr>
        <w:rStyle w:val="PageNumber"/>
      </w:rPr>
    </w:pPr>
    <w:r>
      <w:rPr>
        <w:rStyle w:val="PageNumber"/>
      </w:rPr>
      <w:fldChar w:fldCharType="begin"/>
    </w:r>
    <w:r w:rsidR="00612A1D">
      <w:rPr>
        <w:rStyle w:val="PageNumber"/>
      </w:rPr>
      <w:instrText xml:space="preserve">PAGE  </w:instrText>
    </w:r>
    <w:r>
      <w:rPr>
        <w:rStyle w:val="PageNumber"/>
      </w:rPr>
      <w:fldChar w:fldCharType="separate"/>
    </w:r>
    <w:r w:rsidR="00272B29">
      <w:rPr>
        <w:rStyle w:val="PageNumber"/>
        <w:noProof/>
      </w:rPr>
      <w:t>1</w:t>
    </w:r>
    <w:r w:rsidR="00272B29">
      <w:rPr>
        <w:rStyle w:val="PageNumber"/>
        <w:noProof/>
      </w:rPr>
      <w:t>5</w:t>
    </w:r>
    <w:r>
      <w:rPr>
        <w:rStyle w:val="PageNumber"/>
      </w:rPr>
      <w:fldChar w:fldCharType="end"/>
    </w:r>
  </w:p>
  <w:p w14:paraId="3E7BAF53" w14:textId="77777777" w:rsidR="00612A1D" w:rsidRDefault="00612A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DC8" w14:textId="4F7D6F38" w:rsidR="00612A1D" w:rsidRDefault="0003637B">
    <w:pPr>
      <w:framePr w:wrap="around" w:vAnchor="text" w:hAnchor="margin" w:xAlign="center" w:y="1"/>
      <w:rPr>
        <w:rStyle w:val="PageNumber"/>
        <w:sz w:val="20"/>
      </w:rPr>
    </w:pPr>
    <w:r>
      <w:rPr>
        <w:rStyle w:val="PageNumber"/>
        <w:sz w:val="20"/>
      </w:rPr>
      <w:fldChar w:fldCharType="begin"/>
    </w:r>
    <w:r w:rsidR="00612A1D">
      <w:rPr>
        <w:rStyle w:val="PageNumber"/>
        <w:sz w:val="20"/>
      </w:rPr>
      <w:instrText xml:space="preserve">PAGE  </w:instrText>
    </w:r>
    <w:r>
      <w:rPr>
        <w:rStyle w:val="PageNumber"/>
        <w:sz w:val="20"/>
      </w:rPr>
      <w:fldChar w:fldCharType="separate"/>
    </w:r>
    <w:r w:rsidR="00F10BE4">
      <w:rPr>
        <w:rStyle w:val="PageNumber"/>
        <w:noProof/>
        <w:sz w:val="20"/>
      </w:rPr>
      <w:t>8</w:t>
    </w:r>
    <w:r>
      <w:rPr>
        <w:rStyle w:val="PageNumber"/>
        <w:sz w:val="20"/>
      </w:rPr>
      <w:fldChar w:fldCharType="end"/>
    </w:r>
  </w:p>
  <w:p w14:paraId="61564AA2" w14:textId="77777777" w:rsidR="00612A1D" w:rsidRDefault="00612A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12F5" w14:textId="77777777" w:rsidR="00F041CD" w:rsidRDefault="00F041CD">
      <w:r>
        <w:separator/>
      </w:r>
    </w:p>
  </w:footnote>
  <w:footnote w:type="continuationSeparator" w:id="0">
    <w:p w14:paraId="51E86E3D" w14:textId="77777777" w:rsidR="00F041CD" w:rsidRDefault="00F0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3C426B"/>
    <w:multiLevelType w:val="hybridMultilevel"/>
    <w:tmpl w:val="6F96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B542B"/>
    <w:multiLevelType w:val="hybridMultilevel"/>
    <w:tmpl w:val="F4948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5" w15:restartNumberingAfterBreak="0">
    <w:nsid w:val="32103A66"/>
    <w:multiLevelType w:val="hybridMultilevel"/>
    <w:tmpl w:val="2F32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B9C1FAB"/>
    <w:multiLevelType w:val="hybridMultilevel"/>
    <w:tmpl w:val="8D4E746C"/>
    <w:lvl w:ilvl="0" w:tplc="5D8AE08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923E4F"/>
    <w:multiLevelType w:val="hybridMultilevel"/>
    <w:tmpl w:val="18A0391E"/>
    <w:lvl w:ilvl="0" w:tplc="08160001">
      <w:start w:val="1"/>
      <w:numFmt w:val="bullet"/>
      <w:lvlText w:val=""/>
      <w:lvlJc w:val="left"/>
      <w:pPr>
        <w:ind w:left="780" w:hanging="360"/>
      </w:pPr>
      <w:rPr>
        <w:rFonts w:ascii="Symbol" w:hAnsi="Symbol" w:hint="default"/>
      </w:rPr>
    </w:lvl>
    <w:lvl w:ilvl="1" w:tplc="08160003">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3" w15:restartNumberingAfterBreak="0">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7767BF"/>
    <w:multiLevelType w:val="multilevel"/>
    <w:tmpl w:val="7060B39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7DE2098B"/>
    <w:multiLevelType w:val="hybridMultilevel"/>
    <w:tmpl w:val="7C64A7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293094504">
    <w:abstractNumId w:val="11"/>
  </w:num>
  <w:num w:numId="2" w16cid:durableId="1927421333">
    <w:abstractNumId w:val="0"/>
  </w:num>
  <w:num w:numId="3" w16cid:durableId="482040649">
    <w:abstractNumId w:val="14"/>
  </w:num>
  <w:num w:numId="4" w16cid:durableId="449865330">
    <w:abstractNumId w:val="14"/>
  </w:num>
  <w:num w:numId="5" w16cid:durableId="563099465">
    <w:abstractNumId w:val="14"/>
  </w:num>
  <w:num w:numId="6" w16cid:durableId="309139686">
    <w:abstractNumId w:val="13"/>
  </w:num>
  <w:num w:numId="7" w16cid:durableId="2099252698">
    <w:abstractNumId w:val="14"/>
  </w:num>
  <w:num w:numId="8" w16cid:durableId="2100131899">
    <w:abstractNumId w:val="14"/>
  </w:num>
  <w:num w:numId="9" w16cid:durableId="1840459549">
    <w:abstractNumId w:val="4"/>
  </w:num>
  <w:num w:numId="10" w16cid:durableId="1031490485">
    <w:abstractNumId w:val="9"/>
  </w:num>
  <w:num w:numId="11" w16cid:durableId="700320393">
    <w:abstractNumId w:val="7"/>
  </w:num>
  <w:num w:numId="12" w16cid:durableId="2059089265">
    <w:abstractNumId w:val="10"/>
  </w:num>
  <w:num w:numId="13" w16cid:durableId="1593977095">
    <w:abstractNumId w:val="6"/>
  </w:num>
  <w:num w:numId="14" w16cid:durableId="1011638017">
    <w:abstractNumId w:val="3"/>
  </w:num>
  <w:num w:numId="15" w16cid:durableId="1379937936">
    <w:abstractNumId w:val="12"/>
  </w:num>
  <w:num w:numId="16" w16cid:durableId="1589075847">
    <w:abstractNumId w:val="8"/>
  </w:num>
  <w:num w:numId="17" w16cid:durableId="1205948967">
    <w:abstractNumId w:val="2"/>
  </w:num>
  <w:num w:numId="18" w16cid:durableId="310792913">
    <w:abstractNumId w:val="1"/>
  </w:num>
  <w:num w:numId="19" w16cid:durableId="1267925407">
    <w:abstractNumId w:val="5"/>
  </w:num>
  <w:num w:numId="20" w16cid:durableId="1648390210">
    <w:abstractNumId w:val="15"/>
  </w:num>
  <w:num w:numId="21" w16cid:durableId="1019163258">
    <w:abstractNumId w:val="14"/>
  </w:num>
  <w:num w:numId="22" w16cid:durableId="42041648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09"/>
    <w:rsid w:val="00000A5A"/>
    <w:rsid w:val="0000150D"/>
    <w:rsid w:val="00007B33"/>
    <w:rsid w:val="00012D08"/>
    <w:rsid w:val="0001369F"/>
    <w:rsid w:val="00017D69"/>
    <w:rsid w:val="0002029D"/>
    <w:rsid w:val="000233C6"/>
    <w:rsid w:val="00027566"/>
    <w:rsid w:val="00031477"/>
    <w:rsid w:val="00033112"/>
    <w:rsid w:val="0003637B"/>
    <w:rsid w:val="000364E2"/>
    <w:rsid w:val="000379E2"/>
    <w:rsid w:val="00042E6D"/>
    <w:rsid w:val="00051646"/>
    <w:rsid w:val="00053980"/>
    <w:rsid w:val="00056385"/>
    <w:rsid w:val="00057E9B"/>
    <w:rsid w:val="00060660"/>
    <w:rsid w:val="000641A7"/>
    <w:rsid w:val="00064C3E"/>
    <w:rsid w:val="00070379"/>
    <w:rsid w:val="00071CAB"/>
    <w:rsid w:val="0007325F"/>
    <w:rsid w:val="0007376D"/>
    <w:rsid w:val="00074C67"/>
    <w:rsid w:val="0007668A"/>
    <w:rsid w:val="00077FC3"/>
    <w:rsid w:val="00081E5B"/>
    <w:rsid w:val="00086867"/>
    <w:rsid w:val="000902BB"/>
    <w:rsid w:val="00090AC5"/>
    <w:rsid w:val="00091FEB"/>
    <w:rsid w:val="00095D52"/>
    <w:rsid w:val="00097E34"/>
    <w:rsid w:val="000B0905"/>
    <w:rsid w:val="000B1C65"/>
    <w:rsid w:val="000B7B06"/>
    <w:rsid w:val="000C04E1"/>
    <w:rsid w:val="000C0820"/>
    <w:rsid w:val="000C6AEA"/>
    <w:rsid w:val="000D0F3C"/>
    <w:rsid w:val="000D3CEE"/>
    <w:rsid w:val="000D41C3"/>
    <w:rsid w:val="000D5BAB"/>
    <w:rsid w:val="000E346F"/>
    <w:rsid w:val="000E66EE"/>
    <w:rsid w:val="000F057B"/>
    <w:rsid w:val="000F0DFC"/>
    <w:rsid w:val="000F1373"/>
    <w:rsid w:val="000F1D82"/>
    <w:rsid w:val="000F6AEE"/>
    <w:rsid w:val="000F77DD"/>
    <w:rsid w:val="00102CE0"/>
    <w:rsid w:val="00105290"/>
    <w:rsid w:val="00106047"/>
    <w:rsid w:val="00106F80"/>
    <w:rsid w:val="001075DE"/>
    <w:rsid w:val="0011189E"/>
    <w:rsid w:val="00113B49"/>
    <w:rsid w:val="0011444B"/>
    <w:rsid w:val="001260B1"/>
    <w:rsid w:val="00131402"/>
    <w:rsid w:val="00132DBD"/>
    <w:rsid w:val="00135FE7"/>
    <w:rsid w:val="00140EC2"/>
    <w:rsid w:val="001413C3"/>
    <w:rsid w:val="00141D3C"/>
    <w:rsid w:val="00143455"/>
    <w:rsid w:val="001566C3"/>
    <w:rsid w:val="00161D26"/>
    <w:rsid w:val="00162CBB"/>
    <w:rsid w:val="0016435A"/>
    <w:rsid w:val="001725CB"/>
    <w:rsid w:val="00181A9A"/>
    <w:rsid w:val="001822F1"/>
    <w:rsid w:val="001831C8"/>
    <w:rsid w:val="001877D9"/>
    <w:rsid w:val="001910C5"/>
    <w:rsid w:val="00192AD9"/>
    <w:rsid w:val="00194758"/>
    <w:rsid w:val="00194901"/>
    <w:rsid w:val="001A0198"/>
    <w:rsid w:val="001A1E6B"/>
    <w:rsid w:val="001A4BAD"/>
    <w:rsid w:val="001A4EA0"/>
    <w:rsid w:val="001B6859"/>
    <w:rsid w:val="001C64CD"/>
    <w:rsid w:val="001D0EAC"/>
    <w:rsid w:val="001D1311"/>
    <w:rsid w:val="001E0E49"/>
    <w:rsid w:val="001E1E6F"/>
    <w:rsid w:val="001E4073"/>
    <w:rsid w:val="001F2614"/>
    <w:rsid w:val="00213B90"/>
    <w:rsid w:val="00215746"/>
    <w:rsid w:val="002167BB"/>
    <w:rsid w:val="0022008F"/>
    <w:rsid w:val="00222D6A"/>
    <w:rsid w:val="00222F7B"/>
    <w:rsid w:val="0023370E"/>
    <w:rsid w:val="002363F6"/>
    <w:rsid w:val="00244C76"/>
    <w:rsid w:val="00245587"/>
    <w:rsid w:val="002526AA"/>
    <w:rsid w:val="00260D98"/>
    <w:rsid w:val="00262504"/>
    <w:rsid w:val="0026504C"/>
    <w:rsid w:val="00266376"/>
    <w:rsid w:val="0026766F"/>
    <w:rsid w:val="00270E49"/>
    <w:rsid w:val="00272B29"/>
    <w:rsid w:val="00275A13"/>
    <w:rsid w:val="00276F61"/>
    <w:rsid w:val="00277BC1"/>
    <w:rsid w:val="0028051D"/>
    <w:rsid w:val="002906F9"/>
    <w:rsid w:val="00293296"/>
    <w:rsid w:val="00294331"/>
    <w:rsid w:val="002A02A3"/>
    <w:rsid w:val="002B169D"/>
    <w:rsid w:val="002B3DA3"/>
    <w:rsid w:val="002B47FC"/>
    <w:rsid w:val="002B683F"/>
    <w:rsid w:val="002C16BE"/>
    <w:rsid w:val="002C4050"/>
    <w:rsid w:val="002C6E62"/>
    <w:rsid w:val="002D1E34"/>
    <w:rsid w:val="002D3E6B"/>
    <w:rsid w:val="002D40C0"/>
    <w:rsid w:val="002E5084"/>
    <w:rsid w:val="002F6606"/>
    <w:rsid w:val="0030143E"/>
    <w:rsid w:val="003032A7"/>
    <w:rsid w:val="00314E5E"/>
    <w:rsid w:val="00316950"/>
    <w:rsid w:val="00323D4C"/>
    <w:rsid w:val="003250AC"/>
    <w:rsid w:val="00337C6D"/>
    <w:rsid w:val="00340192"/>
    <w:rsid w:val="00342D5C"/>
    <w:rsid w:val="00346C62"/>
    <w:rsid w:val="00357A5F"/>
    <w:rsid w:val="003662E3"/>
    <w:rsid w:val="003673EB"/>
    <w:rsid w:val="00373AC9"/>
    <w:rsid w:val="00377506"/>
    <w:rsid w:val="00382A70"/>
    <w:rsid w:val="0039030E"/>
    <w:rsid w:val="00390378"/>
    <w:rsid w:val="00391613"/>
    <w:rsid w:val="003A57CC"/>
    <w:rsid w:val="003B1654"/>
    <w:rsid w:val="003B2813"/>
    <w:rsid w:val="003B53F4"/>
    <w:rsid w:val="003B7223"/>
    <w:rsid w:val="003C0536"/>
    <w:rsid w:val="003C2268"/>
    <w:rsid w:val="003C4035"/>
    <w:rsid w:val="003C4848"/>
    <w:rsid w:val="003C53D0"/>
    <w:rsid w:val="003C6273"/>
    <w:rsid w:val="003C6803"/>
    <w:rsid w:val="003D5680"/>
    <w:rsid w:val="003E051F"/>
    <w:rsid w:val="003E76E9"/>
    <w:rsid w:val="003F73E2"/>
    <w:rsid w:val="003F797E"/>
    <w:rsid w:val="004002F7"/>
    <w:rsid w:val="00400A8D"/>
    <w:rsid w:val="00401918"/>
    <w:rsid w:val="00412357"/>
    <w:rsid w:val="004220B3"/>
    <w:rsid w:val="00422796"/>
    <w:rsid w:val="00424C4D"/>
    <w:rsid w:val="00426FF5"/>
    <w:rsid w:val="00430369"/>
    <w:rsid w:val="00430766"/>
    <w:rsid w:val="00431D12"/>
    <w:rsid w:val="004369DC"/>
    <w:rsid w:val="00441168"/>
    <w:rsid w:val="0044129E"/>
    <w:rsid w:val="00443C40"/>
    <w:rsid w:val="004550A4"/>
    <w:rsid w:val="004552DC"/>
    <w:rsid w:val="00462D9E"/>
    <w:rsid w:val="004648A4"/>
    <w:rsid w:val="004662F9"/>
    <w:rsid w:val="00470B2A"/>
    <w:rsid w:val="00470DC2"/>
    <w:rsid w:val="00473E73"/>
    <w:rsid w:val="0047519E"/>
    <w:rsid w:val="0047703D"/>
    <w:rsid w:val="00482C5F"/>
    <w:rsid w:val="00486369"/>
    <w:rsid w:val="00486B2F"/>
    <w:rsid w:val="004947E0"/>
    <w:rsid w:val="00495AB3"/>
    <w:rsid w:val="00497724"/>
    <w:rsid w:val="004A099D"/>
    <w:rsid w:val="004A47FF"/>
    <w:rsid w:val="004A4D83"/>
    <w:rsid w:val="004A52EA"/>
    <w:rsid w:val="004B23D3"/>
    <w:rsid w:val="004B535D"/>
    <w:rsid w:val="004C2950"/>
    <w:rsid w:val="004C39EA"/>
    <w:rsid w:val="004F061E"/>
    <w:rsid w:val="004F064F"/>
    <w:rsid w:val="004F1F10"/>
    <w:rsid w:val="004F2824"/>
    <w:rsid w:val="004F2E89"/>
    <w:rsid w:val="004F2FAF"/>
    <w:rsid w:val="004F4760"/>
    <w:rsid w:val="004F4E16"/>
    <w:rsid w:val="004F74A6"/>
    <w:rsid w:val="00506997"/>
    <w:rsid w:val="00514949"/>
    <w:rsid w:val="00515B1B"/>
    <w:rsid w:val="00523739"/>
    <w:rsid w:val="00523AC3"/>
    <w:rsid w:val="005269EA"/>
    <w:rsid w:val="0053015C"/>
    <w:rsid w:val="00533846"/>
    <w:rsid w:val="005348B2"/>
    <w:rsid w:val="005434C4"/>
    <w:rsid w:val="00554550"/>
    <w:rsid w:val="005549FF"/>
    <w:rsid w:val="00560EFF"/>
    <w:rsid w:val="00562E1E"/>
    <w:rsid w:val="005761BB"/>
    <w:rsid w:val="005A422B"/>
    <w:rsid w:val="005A71DC"/>
    <w:rsid w:val="005B07CD"/>
    <w:rsid w:val="005B157B"/>
    <w:rsid w:val="005B396E"/>
    <w:rsid w:val="005C16CA"/>
    <w:rsid w:val="005D0E28"/>
    <w:rsid w:val="005D2182"/>
    <w:rsid w:val="005D3A1A"/>
    <w:rsid w:val="005D46C5"/>
    <w:rsid w:val="005D543E"/>
    <w:rsid w:val="005E0605"/>
    <w:rsid w:val="005E082E"/>
    <w:rsid w:val="005E330C"/>
    <w:rsid w:val="005E70D7"/>
    <w:rsid w:val="005E7870"/>
    <w:rsid w:val="005F1C1F"/>
    <w:rsid w:val="005F61DE"/>
    <w:rsid w:val="00611AAC"/>
    <w:rsid w:val="00611C00"/>
    <w:rsid w:val="0061244C"/>
    <w:rsid w:val="00612470"/>
    <w:rsid w:val="00612A1D"/>
    <w:rsid w:val="00616265"/>
    <w:rsid w:val="00616AA1"/>
    <w:rsid w:val="00626067"/>
    <w:rsid w:val="00630DD6"/>
    <w:rsid w:val="0063524D"/>
    <w:rsid w:val="0063747C"/>
    <w:rsid w:val="006542C3"/>
    <w:rsid w:val="0065588F"/>
    <w:rsid w:val="00656D17"/>
    <w:rsid w:val="006602C7"/>
    <w:rsid w:val="00664805"/>
    <w:rsid w:val="00671102"/>
    <w:rsid w:val="00672D2C"/>
    <w:rsid w:val="00675A01"/>
    <w:rsid w:val="00677BCB"/>
    <w:rsid w:val="0068456F"/>
    <w:rsid w:val="00684589"/>
    <w:rsid w:val="006845C9"/>
    <w:rsid w:val="00686171"/>
    <w:rsid w:val="006877F2"/>
    <w:rsid w:val="006902F9"/>
    <w:rsid w:val="00690B4B"/>
    <w:rsid w:val="0069180A"/>
    <w:rsid w:val="00693F59"/>
    <w:rsid w:val="00693FBB"/>
    <w:rsid w:val="006950E1"/>
    <w:rsid w:val="006956FB"/>
    <w:rsid w:val="006A120C"/>
    <w:rsid w:val="006A1340"/>
    <w:rsid w:val="006A1C05"/>
    <w:rsid w:val="006A6413"/>
    <w:rsid w:val="006A647B"/>
    <w:rsid w:val="006A7E17"/>
    <w:rsid w:val="006B2EC1"/>
    <w:rsid w:val="006B4CFB"/>
    <w:rsid w:val="006B628A"/>
    <w:rsid w:val="006B7B18"/>
    <w:rsid w:val="006B7D32"/>
    <w:rsid w:val="006C43C1"/>
    <w:rsid w:val="006C4BCC"/>
    <w:rsid w:val="006D02E0"/>
    <w:rsid w:val="006D1EAC"/>
    <w:rsid w:val="006D504C"/>
    <w:rsid w:val="006D7324"/>
    <w:rsid w:val="006E0F2B"/>
    <w:rsid w:val="006E1FA9"/>
    <w:rsid w:val="006E43A9"/>
    <w:rsid w:val="00701AFD"/>
    <w:rsid w:val="0070450E"/>
    <w:rsid w:val="0070740D"/>
    <w:rsid w:val="00732331"/>
    <w:rsid w:val="0073605B"/>
    <w:rsid w:val="007379EE"/>
    <w:rsid w:val="00740824"/>
    <w:rsid w:val="00740B19"/>
    <w:rsid w:val="007437BD"/>
    <w:rsid w:val="007509A5"/>
    <w:rsid w:val="007538DB"/>
    <w:rsid w:val="00754E17"/>
    <w:rsid w:val="007555CB"/>
    <w:rsid w:val="0075560F"/>
    <w:rsid w:val="0076422D"/>
    <w:rsid w:val="00771D15"/>
    <w:rsid w:val="007758F9"/>
    <w:rsid w:val="00776A63"/>
    <w:rsid w:val="00777226"/>
    <w:rsid w:val="00782F34"/>
    <w:rsid w:val="00783532"/>
    <w:rsid w:val="00783B52"/>
    <w:rsid w:val="007910FC"/>
    <w:rsid w:val="007925CA"/>
    <w:rsid w:val="00793843"/>
    <w:rsid w:val="00793EA7"/>
    <w:rsid w:val="00794D13"/>
    <w:rsid w:val="007964E7"/>
    <w:rsid w:val="0079653D"/>
    <w:rsid w:val="00797DD1"/>
    <w:rsid w:val="007A1831"/>
    <w:rsid w:val="007A1E70"/>
    <w:rsid w:val="007A49AD"/>
    <w:rsid w:val="007A5D7D"/>
    <w:rsid w:val="007A63C7"/>
    <w:rsid w:val="007A7C7B"/>
    <w:rsid w:val="007B1CD1"/>
    <w:rsid w:val="007B4C17"/>
    <w:rsid w:val="007B5E4E"/>
    <w:rsid w:val="007B74A6"/>
    <w:rsid w:val="007B7B1C"/>
    <w:rsid w:val="007C44AA"/>
    <w:rsid w:val="007D1731"/>
    <w:rsid w:val="007D5229"/>
    <w:rsid w:val="007D7C8F"/>
    <w:rsid w:val="007F4E06"/>
    <w:rsid w:val="007F776C"/>
    <w:rsid w:val="00802521"/>
    <w:rsid w:val="00802DF8"/>
    <w:rsid w:val="00806907"/>
    <w:rsid w:val="00807AA2"/>
    <w:rsid w:val="00807F54"/>
    <w:rsid w:val="00810203"/>
    <w:rsid w:val="008114A2"/>
    <w:rsid w:val="00814088"/>
    <w:rsid w:val="00820168"/>
    <w:rsid w:val="00843BFD"/>
    <w:rsid w:val="008527D3"/>
    <w:rsid w:val="0085667A"/>
    <w:rsid w:val="008639AA"/>
    <w:rsid w:val="00866526"/>
    <w:rsid w:val="00867DF1"/>
    <w:rsid w:val="008714E8"/>
    <w:rsid w:val="00873D96"/>
    <w:rsid w:val="0087626E"/>
    <w:rsid w:val="00884205"/>
    <w:rsid w:val="00884A79"/>
    <w:rsid w:val="008966FC"/>
    <w:rsid w:val="0089692F"/>
    <w:rsid w:val="00897C8A"/>
    <w:rsid w:val="008A2B8B"/>
    <w:rsid w:val="008A37BA"/>
    <w:rsid w:val="008A4A08"/>
    <w:rsid w:val="008B31DA"/>
    <w:rsid w:val="008C7DB5"/>
    <w:rsid w:val="008D2718"/>
    <w:rsid w:val="008D3CB4"/>
    <w:rsid w:val="008D763E"/>
    <w:rsid w:val="008E05D5"/>
    <w:rsid w:val="008E5651"/>
    <w:rsid w:val="008E568C"/>
    <w:rsid w:val="008F33D5"/>
    <w:rsid w:val="008F5596"/>
    <w:rsid w:val="008F5ECB"/>
    <w:rsid w:val="008F677F"/>
    <w:rsid w:val="00901390"/>
    <w:rsid w:val="009013A2"/>
    <w:rsid w:val="009144BB"/>
    <w:rsid w:val="00915619"/>
    <w:rsid w:val="00921EEA"/>
    <w:rsid w:val="00925DDB"/>
    <w:rsid w:val="0092715D"/>
    <w:rsid w:val="00933045"/>
    <w:rsid w:val="00936307"/>
    <w:rsid w:val="00942A56"/>
    <w:rsid w:val="009573E8"/>
    <w:rsid w:val="00966ED6"/>
    <w:rsid w:val="0096742A"/>
    <w:rsid w:val="00972A1B"/>
    <w:rsid w:val="00976944"/>
    <w:rsid w:val="009852E6"/>
    <w:rsid w:val="0098621D"/>
    <w:rsid w:val="00986EB5"/>
    <w:rsid w:val="00996FE6"/>
    <w:rsid w:val="00997A4D"/>
    <w:rsid w:val="009A0E68"/>
    <w:rsid w:val="009A1D89"/>
    <w:rsid w:val="009B3CB6"/>
    <w:rsid w:val="009C126A"/>
    <w:rsid w:val="009C2F3B"/>
    <w:rsid w:val="009C6B94"/>
    <w:rsid w:val="009C7C49"/>
    <w:rsid w:val="009D242F"/>
    <w:rsid w:val="009D2BB2"/>
    <w:rsid w:val="009D4719"/>
    <w:rsid w:val="009E025D"/>
    <w:rsid w:val="009E5450"/>
    <w:rsid w:val="009E7F15"/>
    <w:rsid w:val="009F0C5B"/>
    <w:rsid w:val="009F150E"/>
    <w:rsid w:val="009F259A"/>
    <w:rsid w:val="009F6078"/>
    <w:rsid w:val="009F7DD0"/>
    <w:rsid w:val="00A024A8"/>
    <w:rsid w:val="00A038FF"/>
    <w:rsid w:val="00A11588"/>
    <w:rsid w:val="00A16114"/>
    <w:rsid w:val="00A165C0"/>
    <w:rsid w:val="00A2153E"/>
    <w:rsid w:val="00A344F9"/>
    <w:rsid w:val="00A3684C"/>
    <w:rsid w:val="00A411E7"/>
    <w:rsid w:val="00A43529"/>
    <w:rsid w:val="00A45C7D"/>
    <w:rsid w:val="00A45E61"/>
    <w:rsid w:val="00A46744"/>
    <w:rsid w:val="00A46850"/>
    <w:rsid w:val="00A477F3"/>
    <w:rsid w:val="00A54E5C"/>
    <w:rsid w:val="00A54F4E"/>
    <w:rsid w:val="00A64343"/>
    <w:rsid w:val="00A658F1"/>
    <w:rsid w:val="00A6632E"/>
    <w:rsid w:val="00A70E54"/>
    <w:rsid w:val="00A77E89"/>
    <w:rsid w:val="00A8160C"/>
    <w:rsid w:val="00A87C8C"/>
    <w:rsid w:val="00A95309"/>
    <w:rsid w:val="00A9741A"/>
    <w:rsid w:val="00AA26E7"/>
    <w:rsid w:val="00AA2FD0"/>
    <w:rsid w:val="00AA3CFD"/>
    <w:rsid w:val="00AA59E8"/>
    <w:rsid w:val="00AA7B7F"/>
    <w:rsid w:val="00AB2B36"/>
    <w:rsid w:val="00AB6997"/>
    <w:rsid w:val="00AB6BD5"/>
    <w:rsid w:val="00AB7A54"/>
    <w:rsid w:val="00AC0304"/>
    <w:rsid w:val="00AC345D"/>
    <w:rsid w:val="00AC570C"/>
    <w:rsid w:val="00AD0DBA"/>
    <w:rsid w:val="00AD241F"/>
    <w:rsid w:val="00AD5228"/>
    <w:rsid w:val="00AE3E5D"/>
    <w:rsid w:val="00AE7906"/>
    <w:rsid w:val="00AF584F"/>
    <w:rsid w:val="00B0161E"/>
    <w:rsid w:val="00B01A4E"/>
    <w:rsid w:val="00B0294D"/>
    <w:rsid w:val="00B1073A"/>
    <w:rsid w:val="00B13DA7"/>
    <w:rsid w:val="00B14832"/>
    <w:rsid w:val="00B14CD6"/>
    <w:rsid w:val="00B1660B"/>
    <w:rsid w:val="00B20556"/>
    <w:rsid w:val="00B31DB0"/>
    <w:rsid w:val="00B41B51"/>
    <w:rsid w:val="00B47A4A"/>
    <w:rsid w:val="00B52471"/>
    <w:rsid w:val="00B52ECA"/>
    <w:rsid w:val="00B6512A"/>
    <w:rsid w:val="00B65217"/>
    <w:rsid w:val="00B70CD3"/>
    <w:rsid w:val="00B713A1"/>
    <w:rsid w:val="00B74A83"/>
    <w:rsid w:val="00B82472"/>
    <w:rsid w:val="00B90507"/>
    <w:rsid w:val="00B9140A"/>
    <w:rsid w:val="00B9370B"/>
    <w:rsid w:val="00B9520C"/>
    <w:rsid w:val="00BA0800"/>
    <w:rsid w:val="00BA1DA6"/>
    <w:rsid w:val="00BA1F69"/>
    <w:rsid w:val="00BA6BEF"/>
    <w:rsid w:val="00BA74F7"/>
    <w:rsid w:val="00BB02CF"/>
    <w:rsid w:val="00BB24AB"/>
    <w:rsid w:val="00BC0888"/>
    <w:rsid w:val="00BC0D68"/>
    <w:rsid w:val="00BC2918"/>
    <w:rsid w:val="00BC315E"/>
    <w:rsid w:val="00BC3989"/>
    <w:rsid w:val="00BC4E3C"/>
    <w:rsid w:val="00BC6739"/>
    <w:rsid w:val="00BD1F63"/>
    <w:rsid w:val="00BD5CDA"/>
    <w:rsid w:val="00BE38C9"/>
    <w:rsid w:val="00BE4CC9"/>
    <w:rsid w:val="00BF2999"/>
    <w:rsid w:val="00BF4ED6"/>
    <w:rsid w:val="00C008CF"/>
    <w:rsid w:val="00C04F44"/>
    <w:rsid w:val="00C06EFE"/>
    <w:rsid w:val="00C07B6B"/>
    <w:rsid w:val="00C13A92"/>
    <w:rsid w:val="00C14823"/>
    <w:rsid w:val="00C154C2"/>
    <w:rsid w:val="00C21BA3"/>
    <w:rsid w:val="00C24496"/>
    <w:rsid w:val="00C309B1"/>
    <w:rsid w:val="00C42BBA"/>
    <w:rsid w:val="00C43796"/>
    <w:rsid w:val="00C44673"/>
    <w:rsid w:val="00C47BE9"/>
    <w:rsid w:val="00C533C4"/>
    <w:rsid w:val="00C5418E"/>
    <w:rsid w:val="00C559F6"/>
    <w:rsid w:val="00C570B3"/>
    <w:rsid w:val="00C60D46"/>
    <w:rsid w:val="00C62218"/>
    <w:rsid w:val="00C721D5"/>
    <w:rsid w:val="00C735EF"/>
    <w:rsid w:val="00C74871"/>
    <w:rsid w:val="00C75E0E"/>
    <w:rsid w:val="00C77A80"/>
    <w:rsid w:val="00C82038"/>
    <w:rsid w:val="00C82BC5"/>
    <w:rsid w:val="00C921A5"/>
    <w:rsid w:val="00C93D0B"/>
    <w:rsid w:val="00CB0BBB"/>
    <w:rsid w:val="00CC07B6"/>
    <w:rsid w:val="00CC1A38"/>
    <w:rsid w:val="00CC27E2"/>
    <w:rsid w:val="00CC5572"/>
    <w:rsid w:val="00CD0B09"/>
    <w:rsid w:val="00CD1975"/>
    <w:rsid w:val="00CD4FA2"/>
    <w:rsid w:val="00CD51FD"/>
    <w:rsid w:val="00CD646D"/>
    <w:rsid w:val="00CE40EE"/>
    <w:rsid w:val="00CE6591"/>
    <w:rsid w:val="00CF0154"/>
    <w:rsid w:val="00CF442F"/>
    <w:rsid w:val="00D004D0"/>
    <w:rsid w:val="00D00B4F"/>
    <w:rsid w:val="00D05A78"/>
    <w:rsid w:val="00D11258"/>
    <w:rsid w:val="00D14191"/>
    <w:rsid w:val="00D148EB"/>
    <w:rsid w:val="00D21356"/>
    <w:rsid w:val="00D2645C"/>
    <w:rsid w:val="00D34708"/>
    <w:rsid w:val="00D37872"/>
    <w:rsid w:val="00D528BD"/>
    <w:rsid w:val="00D53B5D"/>
    <w:rsid w:val="00D54041"/>
    <w:rsid w:val="00D565DB"/>
    <w:rsid w:val="00D642C6"/>
    <w:rsid w:val="00D65197"/>
    <w:rsid w:val="00D671A5"/>
    <w:rsid w:val="00D6732C"/>
    <w:rsid w:val="00D73F71"/>
    <w:rsid w:val="00D83B7D"/>
    <w:rsid w:val="00D91DE0"/>
    <w:rsid w:val="00D962CC"/>
    <w:rsid w:val="00D96EE6"/>
    <w:rsid w:val="00DA01FB"/>
    <w:rsid w:val="00DA0719"/>
    <w:rsid w:val="00DA2CD4"/>
    <w:rsid w:val="00DA3FD5"/>
    <w:rsid w:val="00DA3FF9"/>
    <w:rsid w:val="00DA6A29"/>
    <w:rsid w:val="00DB095B"/>
    <w:rsid w:val="00DB0FA9"/>
    <w:rsid w:val="00DB526D"/>
    <w:rsid w:val="00DD08BA"/>
    <w:rsid w:val="00DD23B9"/>
    <w:rsid w:val="00DD5577"/>
    <w:rsid w:val="00DE0C0D"/>
    <w:rsid w:val="00DE5E01"/>
    <w:rsid w:val="00DE64B5"/>
    <w:rsid w:val="00DF07AE"/>
    <w:rsid w:val="00DF2A80"/>
    <w:rsid w:val="00E05864"/>
    <w:rsid w:val="00E155A9"/>
    <w:rsid w:val="00E16682"/>
    <w:rsid w:val="00E16A60"/>
    <w:rsid w:val="00E232D3"/>
    <w:rsid w:val="00E2796D"/>
    <w:rsid w:val="00E27C6A"/>
    <w:rsid w:val="00E3237A"/>
    <w:rsid w:val="00E32738"/>
    <w:rsid w:val="00E40873"/>
    <w:rsid w:val="00E45F0A"/>
    <w:rsid w:val="00E561B8"/>
    <w:rsid w:val="00E577A4"/>
    <w:rsid w:val="00E60E56"/>
    <w:rsid w:val="00E610BF"/>
    <w:rsid w:val="00E6292F"/>
    <w:rsid w:val="00E6380E"/>
    <w:rsid w:val="00E64348"/>
    <w:rsid w:val="00E73A46"/>
    <w:rsid w:val="00E748EE"/>
    <w:rsid w:val="00E74F43"/>
    <w:rsid w:val="00E75011"/>
    <w:rsid w:val="00E77770"/>
    <w:rsid w:val="00E87AEF"/>
    <w:rsid w:val="00E93323"/>
    <w:rsid w:val="00E95CFE"/>
    <w:rsid w:val="00E97613"/>
    <w:rsid w:val="00E97CBC"/>
    <w:rsid w:val="00EA3C45"/>
    <w:rsid w:val="00EB336E"/>
    <w:rsid w:val="00EB5D66"/>
    <w:rsid w:val="00EC0E81"/>
    <w:rsid w:val="00EC34E5"/>
    <w:rsid w:val="00EE07DC"/>
    <w:rsid w:val="00EE6D93"/>
    <w:rsid w:val="00EF1568"/>
    <w:rsid w:val="00F00B13"/>
    <w:rsid w:val="00F01BB2"/>
    <w:rsid w:val="00F041CD"/>
    <w:rsid w:val="00F04772"/>
    <w:rsid w:val="00F05B26"/>
    <w:rsid w:val="00F10BE4"/>
    <w:rsid w:val="00F10DB0"/>
    <w:rsid w:val="00F118E8"/>
    <w:rsid w:val="00F138A3"/>
    <w:rsid w:val="00F15A1F"/>
    <w:rsid w:val="00F22950"/>
    <w:rsid w:val="00F249F3"/>
    <w:rsid w:val="00F24A47"/>
    <w:rsid w:val="00F26EE9"/>
    <w:rsid w:val="00F27E91"/>
    <w:rsid w:val="00F311FB"/>
    <w:rsid w:val="00F326C3"/>
    <w:rsid w:val="00F37A73"/>
    <w:rsid w:val="00F43BE8"/>
    <w:rsid w:val="00F45A30"/>
    <w:rsid w:val="00F53012"/>
    <w:rsid w:val="00F56141"/>
    <w:rsid w:val="00F71D0F"/>
    <w:rsid w:val="00F83C03"/>
    <w:rsid w:val="00F914C6"/>
    <w:rsid w:val="00F92C40"/>
    <w:rsid w:val="00F95565"/>
    <w:rsid w:val="00F95EAF"/>
    <w:rsid w:val="00FA15BA"/>
    <w:rsid w:val="00FA33B7"/>
    <w:rsid w:val="00FA465B"/>
    <w:rsid w:val="00FA65D4"/>
    <w:rsid w:val="00FA6EBF"/>
    <w:rsid w:val="00FA7FC5"/>
    <w:rsid w:val="00FB0996"/>
    <w:rsid w:val="00FB10F2"/>
    <w:rsid w:val="00FB3067"/>
    <w:rsid w:val="00FC3914"/>
    <w:rsid w:val="00FC5CED"/>
    <w:rsid w:val="00FD0B3F"/>
    <w:rsid w:val="00FD0B6D"/>
    <w:rsid w:val="00FD1E86"/>
    <w:rsid w:val="00FD637F"/>
    <w:rsid w:val="00FD7E46"/>
    <w:rsid w:val="00FE1A27"/>
    <w:rsid w:val="00FE1DCB"/>
    <w:rsid w:val="00FE61C8"/>
    <w:rsid w:val="00FF377F"/>
    <w:rsid w:val="00FF58B4"/>
    <w:rsid w:val="00FF67A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AE421"/>
  <w15:docId w15:val="{29097F75-1E32-40BF-AF51-98C46DE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0"/>
    <w:pPr>
      <w:spacing w:after="120"/>
      <w:jc w:val="both"/>
    </w:pPr>
    <w:rPr>
      <w:rFonts w:ascii="Arial" w:hAnsi="Arial"/>
      <w:sz w:val="22"/>
      <w:lang w:val="nb-NO" w:eastAsia="de-DE"/>
    </w:rPr>
  </w:style>
  <w:style w:type="paragraph" w:styleId="Heading1">
    <w:name w:val="heading 1"/>
    <w:basedOn w:val="Normal"/>
    <w:next w:val="Normal"/>
    <w:link w:val="Heading1Char"/>
    <w:uiPriority w:val="9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9"/>
    <w:qFormat/>
    <w:rsid w:val="00D004D0"/>
    <w:pPr>
      <w:numPr>
        <w:ilvl w:val="1"/>
      </w:numPr>
      <w:spacing w:before="120"/>
      <w:outlineLvl w:val="1"/>
    </w:pPr>
    <w:rPr>
      <w:sz w:val="24"/>
    </w:rPr>
  </w:style>
  <w:style w:type="paragraph" w:styleId="Heading3">
    <w:name w:val="heading 3"/>
    <w:basedOn w:val="Heading2"/>
    <w:next w:val="Normal"/>
    <w:link w:val="Heading3Char"/>
    <w:uiPriority w:val="99"/>
    <w:qFormat/>
    <w:rsid w:val="00D004D0"/>
    <w:pPr>
      <w:numPr>
        <w:ilvl w:val="2"/>
      </w:numPr>
      <w:tabs>
        <w:tab w:val="clear" w:pos="720"/>
      </w:tabs>
      <w:ind w:left="851" w:hanging="851"/>
      <w:outlineLvl w:val="2"/>
    </w:pPr>
    <w:rPr>
      <w:i/>
      <w:sz w:val="22"/>
    </w:rPr>
  </w:style>
  <w:style w:type="paragraph" w:styleId="Heading4">
    <w:name w:val="heading 4"/>
    <w:basedOn w:val="Normal"/>
    <w:next w:val="Normal"/>
    <w:link w:val="Heading4Char"/>
    <w:uiPriority w:val="99"/>
    <w:qFormat/>
    <w:rsid w:val="00D004D0"/>
    <w:pPr>
      <w:numPr>
        <w:ilvl w:val="3"/>
        <w:numId w:val="3"/>
      </w:numPr>
      <w:outlineLvl w:val="3"/>
    </w:pPr>
    <w:rPr>
      <w:u w:val="single"/>
    </w:rPr>
  </w:style>
  <w:style w:type="paragraph" w:styleId="Heading5">
    <w:name w:val="heading 5"/>
    <w:basedOn w:val="Normal"/>
    <w:next w:val="Normal"/>
    <w:link w:val="Heading5Char"/>
    <w:uiPriority w:val="99"/>
    <w:qFormat/>
    <w:rsid w:val="00D004D0"/>
    <w:pPr>
      <w:numPr>
        <w:ilvl w:val="4"/>
        <w:numId w:val="3"/>
      </w:numPr>
      <w:outlineLvl w:val="4"/>
    </w:pPr>
    <w:rPr>
      <w:b/>
      <w:sz w:val="20"/>
    </w:rPr>
  </w:style>
  <w:style w:type="paragraph" w:styleId="Heading6">
    <w:name w:val="heading 6"/>
    <w:basedOn w:val="Normal"/>
    <w:next w:val="Normal"/>
    <w:link w:val="Heading6Char"/>
    <w:uiPriority w:val="99"/>
    <w:qFormat/>
    <w:rsid w:val="00D004D0"/>
    <w:pPr>
      <w:numPr>
        <w:ilvl w:val="5"/>
        <w:numId w:val="3"/>
      </w:numPr>
      <w:outlineLvl w:val="5"/>
    </w:pPr>
    <w:rPr>
      <w:sz w:val="20"/>
      <w:u w:val="single"/>
    </w:rPr>
  </w:style>
  <w:style w:type="paragraph" w:styleId="Heading7">
    <w:name w:val="heading 7"/>
    <w:basedOn w:val="Normal"/>
    <w:next w:val="Normal"/>
    <w:link w:val="Heading7Char"/>
    <w:uiPriority w:val="99"/>
    <w:qFormat/>
    <w:rsid w:val="00D004D0"/>
    <w:pPr>
      <w:numPr>
        <w:ilvl w:val="6"/>
        <w:numId w:val="3"/>
      </w:numPr>
      <w:outlineLvl w:val="6"/>
    </w:pPr>
    <w:rPr>
      <w:i/>
      <w:sz w:val="20"/>
    </w:rPr>
  </w:style>
  <w:style w:type="paragraph" w:styleId="Heading8">
    <w:name w:val="heading 8"/>
    <w:basedOn w:val="Normal"/>
    <w:next w:val="Normal"/>
    <w:link w:val="Heading8Char"/>
    <w:uiPriority w:val="99"/>
    <w:qFormat/>
    <w:rsid w:val="00D004D0"/>
    <w:pPr>
      <w:numPr>
        <w:ilvl w:val="7"/>
        <w:numId w:val="3"/>
      </w:numPr>
      <w:outlineLvl w:val="7"/>
    </w:pPr>
    <w:rPr>
      <w:i/>
      <w:sz w:val="20"/>
    </w:rPr>
  </w:style>
  <w:style w:type="paragraph" w:styleId="Heading9">
    <w:name w:val="heading 9"/>
    <w:basedOn w:val="Normal"/>
    <w:next w:val="Normal"/>
    <w:link w:val="Heading9Char"/>
    <w:uiPriority w:val="9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28"/>
    <w:rPr>
      <w:rFonts w:ascii="Cambria" w:eastAsia="Times New Roman" w:hAnsi="Cambria" w:cs="Times New Roman"/>
      <w:b/>
      <w:bCs/>
      <w:kern w:val="32"/>
      <w:sz w:val="32"/>
      <w:szCs w:val="32"/>
      <w:lang w:val="nb-NO" w:eastAsia="de-DE"/>
    </w:rPr>
  </w:style>
  <w:style w:type="character" w:customStyle="1" w:styleId="Heading2Char">
    <w:name w:val="Heading 2 Char"/>
    <w:basedOn w:val="DefaultParagraphFont"/>
    <w:link w:val="Heading2"/>
    <w:uiPriority w:val="9"/>
    <w:semiHidden/>
    <w:rsid w:val="00082628"/>
    <w:rPr>
      <w:rFonts w:ascii="Cambria" w:eastAsia="Times New Roman" w:hAnsi="Cambria" w:cs="Times New Roman"/>
      <w:b/>
      <w:bCs/>
      <w:i/>
      <w:iCs/>
      <w:sz w:val="28"/>
      <w:szCs w:val="28"/>
      <w:lang w:val="nb-NO" w:eastAsia="de-DE"/>
    </w:rPr>
  </w:style>
  <w:style w:type="character" w:customStyle="1" w:styleId="Heading3Char">
    <w:name w:val="Heading 3 Char"/>
    <w:basedOn w:val="DefaultParagraphFont"/>
    <w:link w:val="Heading3"/>
    <w:uiPriority w:val="9"/>
    <w:semiHidden/>
    <w:rsid w:val="00082628"/>
    <w:rPr>
      <w:rFonts w:ascii="Cambria" w:eastAsia="Times New Roman" w:hAnsi="Cambria" w:cs="Times New Roman"/>
      <w:b/>
      <w:bCs/>
      <w:sz w:val="26"/>
      <w:szCs w:val="26"/>
      <w:lang w:val="nb-NO" w:eastAsia="de-DE"/>
    </w:rPr>
  </w:style>
  <w:style w:type="character" w:customStyle="1" w:styleId="Heading4Char">
    <w:name w:val="Heading 4 Char"/>
    <w:basedOn w:val="DefaultParagraphFont"/>
    <w:link w:val="Heading4"/>
    <w:uiPriority w:val="9"/>
    <w:semiHidden/>
    <w:rsid w:val="00082628"/>
    <w:rPr>
      <w:rFonts w:ascii="Calibri" w:eastAsia="Times New Roman" w:hAnsi="Calibri" w:cs="Times New Roman"/>
      <w:b/>
      <w:bCs/>
      <w:sz w:val="28"/>
      <w:szCs w:val="28"/>
      <w:lang w:val="nb-NO" w:eastAsia="de-DE"/>
    </w:rPr>
  </w:style>
  <w:style w:type="character" w:customStyle="1" w:styleId="Heading5Char">
    <w:name w:val="Heading 5 Char"/>
    <w:basedOn w:val="DefaultParagraphFont"/>
    <w:link w:val="Heading5"/>
    <w:uiPriority w:val="9"/>
    <w:semiHidden/>
    <w:rsid w:val="00082628"/>
    <w:rPr>
      <w:rFonts w:ascii="Calibri" w:eastAsia="Times New Roman" w:hAnsi="Calibri" w:cs="Times New Roman"/>
      <w:b/>
      <w:bCs/>
      <w:i/>
      <w:iCs/>
      <w:sz w:val="26"/>
      <w:szCs w:val="26"/>
      <w:lang w:val="nb-NO" w:eastAsia="de-DE"/>
    </w:rPr>
  </w:style>
  <w:style w:type="character" w:customStyle="1" w:styleId="Heading6Char">
    <w:name w:val="Heading 6 Char"/>
    <w:basedOn w:val="DefaultParagraphFont"/>
    <w:link w:val="Heading6"/>
    <w:uiPriority w:val="9"/>
    <w:semiHidden/>
    <w:rsid w:val="00082628"/>
    <w:rPr>
      <w:rFonts w:ascii="Calibri" w:eastAsia="Times New Roman" w:hAnsi="Calibri" w:cs="Times New Roman"/>
      <w:b/>
      <w:bCs/>
      <w:lang w:val="nb-NO" w:eastAsia="de-DE"/>
    </w:rPr>
  </w:style>
  <w:style w:type="character" w:customStyle="1" w:styleId="Heading7Char">
    <w:name w:val="Heading 7 Char"/>
    <w:basedOn w:val="DefaultParagraphFont"/>
    <w:link w:val="Heading7"/>
    <w:uiPriority w:val="9"/>
    <w:semiHidden/>
    <w:rsid w:val="00082628"/>
    <w:rPr>
      <w:rFonts w:ascii="Calibri" w:eastAsia="Times New Roman" w:hAnsi="Calibri" w:cs="Times New Roman"/>
      <w:sz w:val="24"/>
      <w:szCs w:val="24"/>
      <w:lang w:val="nb-NO" w:eastAsia="de-DE"/>
    </w:rPr>
  </w:style>
  <w:style w:type="character" w:customStyle="1" w:styleId="Heading8Char">
    <w:name w:val="Heading 8 Char"/>
    <w:basedOn w:val="DefaultParagraphFont"/>
    <w:link w:val="Heading8"/>
    <w:uiPriority w:val="9"/>
    <w:semiHidden/>
    <w:rsid w:val="00082628"/>
    <w:rPr>
      <w:rFonts w:ascii="Calibri" w:eastAsia="Times New Roman" w:hAnsi="Calibri" w:cs="Times New Roman"/>
      <w:i/>
      <w:iCs/>
      <w:sz w:val="24"/>
      <w:szCs w:val="24"/>
      <w:lang w:val="nb-NO" w:eastAsia="de-DE"/>
    </w:rPr>
  </w:style>
  <w:style w:type="character" w:customStyle="1" w:styleId="Heading9Char">
    <w:name w:val="Heading 9 Char"/>
    <w:basedOn w:val="DefaultParagraphFont"/>
    <w:link w:val="Heading9"/>
    <w:uiPriority w:val="9"/>
    <w:semiHidden/>
    <w:rsid w:val="00082628"/>
    <w:rPr>
      <w:rFonts w:ascii="Cambria" w:eastAsia="Times New Roman" w:hAnsi="Cambria" w:cs="Times New Roman"/>
      <w:lang w:val="nb-NO" w:eastAsia="de-DE"/>
    </w:rPr>
  </w:style>
  <w:style w:type="paragraph" w:styleId="Header">
    <w:name w:val="header"/>
    <w:basedOn w:val="Normal"/>
    <w:link w:val="HeaderChar"/>
    <w:uiPriority w:val="99"/>
    <w:rsid w:val="0098621D"/>
    <w:pPr>
      <w:tabs>
        <w:tab w:val="center" w:pos="4536"/>
        <w:tab w:val="right" w:pos="9072"/>
      </w:tabs>
      <w:spacing w:after="0"/>
      <w:jc w:val="left"/>
    </w:pPr>
    <w:rPr>
      <w:b/>
    </w:rPr>
  </w:style>
  <w:style w:type="character" w:customStyle="1" w:styleId="HeaderChar">
    <w:name w:val="Header Char"/>
    <w:basedOn w:val="DefaultParagraphFont"/>
    <w:link w:val="Header"/>
    <w:uiPriority w:val="99"/>
    <w:semiHidden/>
    <w:rsid w:val="00082628"/>
    <w:rPr>
      <w:rFonts w:ascii="Arial" w:hAnsi="Arial"/>
      <w:szCs w:val="20"/>
      <w:lang w:val="nb-NO" w:eastAsia="de-DE"/>
    </w:rPr>
  </w:style>
  <w:style w:type="paragraph" w:styleId="List">
    <w:name w:val="List"/>
    <w:basedOn w:val="Normal"/>
    <w:uiPriority w:val="99"/>
    <w:rsid w:val="00135FE7"/>
    <w:pPr>
      <w:tabs>
        <w:tab w:val="left" w:pos="1418"/>
      </w:tabs>
      <w:ind w:left="1418" w:hanging="567"/>
    </w:pPr>
  </w:style>
  <w:style w:type="paragraph" w:customStyle="1" w:styleId="Header1">
    <w:name w:val="Header1"/>
    <w:basedOn w:val="Header"/>
    <w:rsid w:val="00215746"/>
  </w:style>
  <w:style w:type="character" w:styleId="FootnoteReference">
    <w:name w:val="footnote reference"/>
    <w:basedOn w:val="DefaultParagraphFont"/>
    <w:uiPriority w:val="99"/>
    <w:semiHidden/>
    <w:rsid w:val="00B47A4A"/>
    <w:rPr>
      <w:rFonts w:cs="Times New Roman"/>
      <w:position w:val="6"/>
      <w:sz w:val="16"/>
    </w:rPr>
  </w:style>
  <w:style w:type="paragraph" w:styleId="FootnoteText">
    <w:name w:val="footnote text"/>
    <w:basedOn w:val="Normal"/>
    <w:link w:val="FootnoteTextChar"/>
    <w:uiPriority w:val="99"/>
    <w:semiHidden/>
    <w:rsid w:val="00B47A4A"/>
    <w:rPr>
      <w:sz w:val="20"/>
    </w:rPr>
  </w:style>
  <w:style w:type="character" w:customStyle="1" w:styleId="FootnoteTextChar">
    <w:name w:val="Footnote Text Char"/>
    <w:basedOn w:val="DefaultParagraphFont"/>
    <w:link w:val="FootnoteText"/>
    <w:uiPriority w:val="99"/>
    <w:semiHidden/>
    <w:rsid w:val="00082628"/>
    <w:rPr>
      <w:rFonts w:ascii="Arial" w:hAnsi="Arial"/>
      <w:sz w:val="20"/>
      <w:szCs w:val="20"/>
      <w:lang w:val="nb-NO" w:eastAsia="de-DE"/>
    </w:rPr>
  </w:style>
  <w:style w:type="character" w:styleId="PageNumber">
    <w:name w:val="page number"/>
    <w:basedOn w:val="DefaultParagraphFont"/>
    <w:uiPriority w:val="99"/>
    <w:rsid w:val="00B47A4A"/>
    <w:rPr>
      <w:rFonts w:cs="Times New Roman"/>
    </w:rPr>
  </w:style>
  <w:style w:type="paragraph" w:styleId="DocumentMap">
    <w:name w:val="Document Map"/>
    <w:basedOn w:val="Normal"/>
    <w:link w:val="DocumentMapChar"/>
    <w:uiPriority w:val="99"/>
    <w:semiHidden/>
    <w:rsid w:val="00B47A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82628"/>
    <w:rPr>
      <w:sz w:val="0"/>
      <w:szCs w:val="0"/>
      <w:lang w:val="nb-NO" w:eastAsia="de-DE"/>
    </w:rPr>
  </w:style>
  <w:style w:type="paragraph" w:styleId="TableofFigures">
    <w:name w:val="table of figures"/>
    <w:basedOn w:val="Normal"/>
    <w:next w:val="Normal"/>
    <w:uiPriority w:val="99"/>
    <w:semiHidden/>
    <w:rsid w:val="00B47A4A"/>
    <w:pPr>
      <w:ind w:left="400" w:hanging="400"/>
    </w:pPr>
    <w:rPr>
      <w:sz w:val="20"/>
      <w:lang w:val="de-DE"/>
    </w:rPr>
  </w:style>
  <w:style w:type="paragraph" w:styleId="Title">
    <w:name w:val="Title"/>
    <w:basedOn w:val="Normal"/>
    <w:link w:val="TitleChar"/>
    <w:uiPriority w:val="99"/>
    <w:qFormat/>
    <w:rsid w:val="00B70CD3"/>
    <w:pPr>
      <w:jc w:val="center"/>
    </w:pPr>
    <w:rPr>
      <w:b/>
      <w:sz w:val="28"/>
      <w:lang w:val="de-DE"/>
    </w:rPr>
  </w:style>
  <w:style w:type="character" w:customStyle="1" w:styleId="TitleChar">
    <w:name w:val="Title Char"/>
    <w:basedOn w:val="DefaultParagraphFont"/>
    <w:link w:val="Title"/>
    <w:uiPriority w:val="99"/>
    <w:locked/>
    <w:rsid w:val="00B9520C"/>
    <w:rPr>
      <w:rFonts w:ascii="Arial" w:hAnsi="Arial"/>
      <w:b/>
      <w:sz w:val="28"/>
      <w:lang w:val="de-DE" w:eastAsia="de-DE"/>
    </w:rPr>
  </w:style>
  <w:style w:type="paragraph" w:customStyle="1" w:styleId="Kasten">
    <w:name w:val="Kasten"/>
    <w:basedOn w:val="Normal"/>
    <w:uiPriority w:val="99"/>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basedOn w:val="DefaultParagraphFont"/>
    <w:uiPriority w:val="99"/>
    <w:rsid w:val="003C53D0"/>
    <w:rPr>
      <w:rFonts w:cs="Times New Roman"/>
      <w:color w:val="0000FF"/>
      <w:u w:val="single"/>
    </w:rPr>
  </w:style>
  <w:style w:type="paragraph" w:customStyle="1" w:styleId="Note">
    <w:name w:val="Note"/>
    <w:basedOn w:val="Normal"/>
    <w:next w:val="Normal"/>
    <w:uiPriority w:val="99"/>
    <w:rsid w:val="00DE5E01"/>
    <w:pPr>
      <w:tabs>
        <w:tab w:val="left" w:pos="851"/>
      </w:tabs>
      <w:ind w:left="851" w:hanging="851"/>
    </w:pPr>
    <w:rPr>
      <w:b/>
      <w:lang w:val="en-GB"/>
    </w:rPr>
  </w:style>
  <w:style w:type="table" w:styleId="TableGrid">
    <w:name w:val="Table Grid"/>
    <w:basedOn w:val="TableNormal"/>
    <w:uiPriority w:val="99"/>
    <w:rsid w:val="005D54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D5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D5BAB"/>
    <w:rPr>
      <w:rFonts w:ascii="Tahoma" w:hAnsi="Tahoma" w:cs="Tahoma"/>
      <w:sz w:val="16"/>
      <w:szCs w:val="16"/>
      <w:lang w:val="nb-NO" w:eastAsia="de-DE"/>
    </w:rPr>
  </w:style>
  <w:style w:type="character" w:styleId="CommentReference">
    <w:name w:val="annotation reference"/>
    <w:basedOn w:val="DefaultParagraphFont"/>
    <w:uiPriority w:val="99"/>
    <w:rsid w:val="00C44673"/>
    <w:rPr>
      <w:rFonts w:cs="Times New Roman"/>
      <w:sz w:val="16"/>
      <w:szCs w:val="16"/>
    </w:rPr>
  </w:style>
  <w:style w:type="paragraph" w:styleId="CommentText">
    <w:name w:val="annotation text"/>
    <w:basedOn w:val="Normal"/>
    <w:link w:val="CommentTextChar"/>
    <w:uiPriority w:val="99"/>
    <w:rsid w:val="00C44673"/>
    <w:rPr>
      <w:sz w:val="20"/>
    </w:rPr>
  </w:style>
  <w:style w:type="character" w:customStyle="1" w:styleId="CommentTextChar">
    <w:name w:val="Comment Text Char"/>
    <w:basedOn w:val="DefaultParagraphFont"/>
    <w:link w:val="CommentText"/>
    <w:uiPriority w:val="99"/>
    <w:locked/>
    <w:rsid w:val="00C44673"/>
    <w:rPr>
      <w:rFonts w:ascii="Arial" w:hAnsi="Arial" w:cs="Times New Roman"/>
      <w:lang w:val="nb-NO" w:eastAsia="de-DE"/>
    </w:rPr>
  </w:style>
  <w:style w:type="paragraph" w:styleId="CommentSubject">
    <w:name w:val="annotation subject"/>
    <w:basedOn w:val="CommentText"/>
    <w:next w:val="CommentText"/>
    <w:link w:val="CommentSubjectChar"/>
    <w:uiPriority w:val="99"/>
    <w:rsid w:val="00C44673"/>
    <w:rPr>
      <w:b/>
      <w:bCs/>
    </w:rPr>
  </w:style>
  <w:style w:type="character" w:customStyle="1" w:styleId="CommentSubjectChar">
    <w:name w:val="Comment Subject Char"/>
    <w:basedOn w:val="CommentTextChar"/>
    <w:link w:val="CommentSubject"/>
    <w:uiPriority w:val="99"/>
    <w:locked/>
    <w:rsid w:val="00C44673"/>
    <w:rPr>
      <w:rFonts w:ascii="Arial" w:hAnsi="Arial" w:cs="Times New Roman"/>
      <w:b/>
      <w:bCs/>
      <w:lang w:val="nb-NO" w:eastAsia="de-DE"/>
    </w:rPr>
  </w:style>
  <w:style w:type="character" w:customStyle="1" w:styleId="apple-converted-space">
    <w:name w:val="apple-converted-space"/>
    <w:basedOn w:val="DefaultParagraphFont"/>
    <w:rsid w:val="005D2182"/>
  </w:style>
  <w:style w:type="character" w:styleId="Strong">
    <w:name w:val="Strong"/>
    <w:basedOn w:val="DefaultParagraphFont"/>
    <w:uiPriority w:val="22"/>
    <w:qFormat/>
    <w:locked/>
    <w:rsid w:val="00783B52"/>
    <w:rPr>
      <w:b/>
      <w:bCs/>
    </w:rPr>
  </w:style>
  <w:style w:type="paragraph" w:styleId="ListParagraph">
    <w:name w:val="List Paragraph"/>
    <w:basedOn w:val="Normal"/>
    <w:uiPriority w:val="34"/>
    <w:qFormat/>
    <w:rsid w:val="00D83B7D"/>
    <w:pPr>
      <w:ind w:left="720"/>
      <w:contextualSpacing/>
    </w:pPr>
  </w:style>
  <w:style w:type="character" w:styleId="FollowedHyperlink">
    <w:name w:val="FollowedHyperlink"/>
    <w:basedOn w:val="DefaultParagraphFont"/>
    <w:uiPriority w:val="99"/>
    <w:semiHidden/>
    <w:unhideWhenUsed/>
    <w:rsid w:val="00E32738"/>
    <w:rPr>
      <w:color w:val="800080" w:themeColor="followedHyperlink"/>
      <w:u w:val="single"/>
    </w:rPr>
  </w:style>
  <w:style w:type="paragraph" w:styleId="PlainText">
    <w:name w:val="Plain Text"/>
    <w:basedOn w:val="Normal"/>
    <w:link w:val="PlainTextChar"/>
    <w:uiPriority w:val="99"/>
    <w:semiHidden/>
    <w:unhideWhenUsed/>
    <w:rsid w:val="00F01BB2"/>
    <w:pPr>
      <w:spacing w:after="0"/>
      <w:jc w:val="left"/>
    </w:pPr>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semiHidden/>
    <w:rsid w:val="00F01BB2"/>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953">
      <w:bodyDiv w:val="1"/>
      <w:marLeft w:val="0"/>
      <w:marRight w:val="0"/>
      <w:marTop w:val="0"/>
      <w:marBottom w:val="0"/>
      <w:divBdr>
        <w:top w:val="none" w:sz="0" w:space="0" w:color="auto"/>
        <w:left w:val="none" w:sz="0" w:space="0" w:color="auto"/>
        <w:bottom w:val="none" w:sz="0" w:space="0" w:color="auto"/>
        <w:right w:val="none" w:sz="0" w:space="0" w:color="auto"/>
      </w:divBdr>
      <w:divsChild>
        <w:div w:id="733042674">
          <w:marLeft w:val="0"/>
          <w:marRight w:val="0"/>
          <w:marTop w:val="0"/>
          <w:marBottom w:val="0"/>
          <w:divBdr>
            <w:top w:val="none" w:sz="0" w:space="0" w:color="auto"/>
            <w:left w:val="none" w:sz="0" w:space="0" w:color="auto"/>
            <w:bottom w:val="none" w:sz="0" w:space="0" w:color="auto"/>
            <w:right w:val="none" w:sz="0" w:space="0" w:color="auto"/>
          </w:divBdr>
        </w:div>
      </w:divsChild>
    </w:div>
    <w:div w:id="234511049">
      <w:bodyDiv w:val="1"/>
      <w:marLeft w:val="0"/>
      <w:marRight w:val="0"/>
      <w:marTop w:val="0"/>
      <w:marBottom w:val="0"/>
      <w:divBdr>
        <w:top w:val="none" w:sz="0" w:space="0" w:color="auto"/>
        <w:left w:val="none" w:sz="0" w:space="0" w:color="auto"/>
        <w:bottom w:val="none" w:sz="0" w:space="0" w:color="auto"/>
        <w:right w:val="none" w:sz="0" w:space="0" w:color="auto"/>
      </w:divBdr>
    </w:div>
    <w:div w:id="503715471">
      <w:bodyDiv w:val="1"/>
      <w:marLeft w:val="0"/>
      <w:marRight w:val="0"/>
      <w:marTop w:val="0"/>
      <w:marBottom w:val="0"/>
      <w:divBdr>
        <w:top w:val="none" w:sz="0" w:space="0" w:color="auto"/>
        <w:left w:val="none" w:sz="0" w:space="0" w:color="auto"/>
        <w:bottom w:val="none" w:sz="0" w:space="0" w:color="auto"/>
        <w:right w:val="none" w:sz="0" w:space="0" w:color="auto"/>
      </w:divBdr>
    </w:div>
    <w:div w:id="552159337">
      <w:bodyDiv w:val="1"/>
      <w:marLeft w:val="0"/>
      <w:marRight w:val="0"/>
      <w:marTop w:val="0"/>
      <w:marBottom w:val="0"/>
      <w:divBdr>
        <w:top w:val="none" w:sz="0" w:space="0" w:color="auto"/>
        <w:left w:val="none" w:sz="0" w:space="0" w:color="auto"/>
        <w:bottom w:val="none" w:sz="0" w:space="0" w:color="auto"/>
        <w:right w:val="none" w:sz="0" w:space="0" w:color="auto"/>
      </w:divBdr>
    </w:div>
    <w:div w:id="632248349">
      <w:bodyDiv w:val="1"/>
      <w:marLeft w:val="0"/>
      <w:marRight w:val="0"/>
      <w:marTop w:val="0"/>
      <w:marBottom w:val="0"/>
      <w:divBdr>
        <w:top w:val="none" w:sz="0" w:space="0" w:color="auto"/>
        <w:left w:val="none" w:sz="0" w:space="0" w:color="auto"/>
        <w:bottom w:val="none" w:sz="0" w:space="0" w:color="auto"/>
        <w:right w:val="none" w:sz="0" w:space="0" w:color="auto"/>
      </w:divBdr>
      <w:divsChild>
        <w:div w:id="241452788">
          <w:marLeft w:val="0"/>
          <w:marRight w:val="0"/>
          <w:marTop w:val="0"/>
          <w:marBottom w:val="0"/>
          <w:divBdr>
            <w:top w:val="none" w:sz="0" w:space="0" w:color="auto"/>
            <w:left w:val="none" w:sz="0" w:space="0" w:color="auto"/>
            <w:bottom w:val="none" w:sz="0" w:space="0" w:color="auto"/>
            <w:right w:val="none" w:sz="0" w:space="0" w:color="auto"/>
          </w:divBdr>
        </w:div>
      </w:divsChild>
    </w:div>
    <w:div w:id="925072134">
      <w:bodyDiv w:val="1"/>
      <w:marLeft w:val="0"/>
      <w:marRight w:val="0"/>
      <w:marTop w:val="0"/>
      <w:marBottom w:val="0"/>
      <w:divBdr>
        <w:top w:val="none" w:sz="0" w:space="0" w:color="auto"/>
        <w:left w:val="none" w:sz="0" w:space="0" w:color="auto"/>
        <w:bottom w:val="none" w:sz="0" w:space="0" w:color="auto"/>
        <w:right w:val="none" w:sz="0" w:space="0" w:color="auto"/>
      </w:divBdr>
      <w:divsChild>
        <w:div w:id="854997297">
          <w:marLeft w:val="0"/>
          <w:marRight w:val="0"/>
          <w:marTop w:val="0"/>
          <w:marBottom w:val="0"/>
          <w:divBdr>
            <w:top w:val="none" w:sz="0" w:space="0" w:color="auto"/>
            <w:left w:val="none" w:sz="0" w:space="0" w:color="auto"/>
            <w:bottom w:val="none" w:sz="0" w:space="0" w:color="auto"/>
            <w:right w:val="none" w:sz="0" w:space="0" w:color="auto"/>
          </w:divBdr>
        </w:div>
      </w:divsChild>
    </w:div>
    <w:div w:id="1396124051">
      <w:bodyDiv w:val="1"/>
      <w:marLeft w:val="0"/>
      <w:marRight w:val="0"/>
      <w:marTop w:val="0"/>
      <w:marBottom w:val="0"/>
      <w:divBdr>
        <w:top w:val="none" w:sz="0" w:space="0" w:color="auto"/>
        <w:left w:val="none" w:sz="0" w:space="0" w:color="auto"/>
        <w:bottom w:val="none" w:sz="0" w:space="0" w:color="auto"/>
        <w:right w:val="none" w:sz="0" w:space="0" w:color="auto"/>
      </w:divBdr>
    </w:div>
    <w:div w:id="1417286056">
      <w:bodyDiv w:val="1"/>
      <w:marLeft w:val="0"/>
      <w:marRight w:val="0"/>
      <w:marTop w:val="0"/>
      <w:marBottom w:val="0"/>
      <w:divBdr>
        <w:top w:val="none" w:sz="0" w:space="0" w:color="auto"/>
        <w:left w:val="none" w:sz="0" w:space="0" w:color="auto"/>
        <w:bottom w:val="none" w:sz="0" w:space="0" w:color="auto"/>
        <w:right w:val="none" w:sz="0" w:space="0" w:color="auto"/>
      </w:divBdr>
    </w:div>
    <w:div w:id="16682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CAE5-804D-4504-B9CF-58A05184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2643</Words>
  <Characters>15992</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Edith Schönfelder</dc:creator>
  <cp:keywords>ECC, CEPT, Template</cp:keywords>
  <cp:lastModifiedBy>Vassil Krastev (ECO)</cp:lastModifiedBy>
  <cp:revision>39</cp:revision>
  <cp:lastPrinted>2016-12-30T10:50:00Z</cp:lastPrinted>
  <dcterms:created xsi:type="dcterms:W3CDTF">2022-04-05T14:21:00Z</dcterms:created>
  <dcterms:modified xsi:type="dcterms:W3CDTF">2022-05-19T15:02:00Z</dcterms:modified>
</cp:coreProperties>
</file>